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608F" w14:textId="32FEC1D9" w:rsidR="00DC1245" w:rsidRPr="00A47373" w:rsidRDefault="00DC1245" w:rsidP="00DC1245">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3GPP TSG RAN WG1 Meeting #10</w:t>
      </w:r>
      <w:r w:rsidR="00F45631">
        <w:rPr>
          <w:rFonts w:cs="Arial"/>
          <w:bCs/>
          <w:sz w:val="24"/>
        </w:rPr>
        <w:t>5</w:t>
      </w:r>
      <w:r w:rsidRPr="00F36CB2">
        <w:rPr>
          <w:rFonts w:cs="Arial"/>
          <w:bCs/>
          <w:sz w:val="24"/>
        </w:rPr>
        <w:t>-</w:t>
      </w:r>
      <w:r w:rsidRPr="00A47373">
        <w:rPr>
          <w:rFonts w:cs="Arial"/>
          <w:bCs/>
          <w:sz w:val="24"/>
        </w:rPr>
        <w:t xml:space="preserve">e </w:t>
      </w:r>
      <w:r w:rsidRPr="00A47373">
        <w:rPr>
          <w:rFonts w:cs="Arial"/>
          <w:bCs/>
          <w:sz w:val="24"/>
          <w:szCs w:val="24"/>
          <w:lang w:val="en-US" w:eastAsia="zh-TW"/>
        </w:rPr>
        <w:t xml:space="preserve"> </w:t>
      </w:r>
      <w:r w:rsidRPr="00A47373">
        <w:rPr>
          <w:rFonts w:cs="Arial"/>
          <w:bCs/>
          <w:sz w:val="24"/>
          <w:szCs w:val="24"/>
          <w:lang w:val="en-US" w:eastAsia="zh-TW"/>
        </w:rPr>
        <w:tab/>
      </w:r>
      <w:r w:rsidR="00F45631">
        <w:rPr>
          <w:rFonts w:cs="Arial"/>
          <w:bCs/>
          <w:sz w:val="24"/>
          <w:szCs w:val="24"/>
          <w:lang w:val="en-US" w:eastAsia="zh-TW"/>
        </w:rPr>
        <w:tab/>
      </w:r>
      <w:r w:rsidRPr="00A47373">
        <w:rPr>
          <w:rFonts w:eastAsia="MS Mincho" w:cs="Arial"/>
          <w:bCs/>
          <w:sz w:val="24"/>
          <w:szCs w:val="24"/>
          <w:lang w:val="en-US"/>
        </w:rPr>
        <w:t>R1-</w:t>
      </w:r>
      <w:bookmarkStart w:id="2" w:name="_GoBack"/>
      <w:r w:rsidR="007C4742" w:rsidRPr="007C4742">
        <w:rPr>
          <w:rFonts w:eastAsia="MS Mincho" w:cs="Arial"/>
          <w:bCs/>
          <w:sz w:val="24"/>
          <w:szCs w:val="24"/>
          <w:lang w:val="en-US"/>
        </w:rPr>
        <w:t>2105737</w:t>
      </w:r>
      <w:bookmarkEnd w:id="2"/>
    </w:p>
    <w:p w14:paraId="61FB3247" w14:textId="1BFD2C17" w:rsidR="00DC1245" w:rsidRPr="001E46AC" w:rsidRDefault="00DC1245" w:rsidP="00DC1245">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sidR="00F45631">
        <w:rPr>
          <w:rFonts w:cs="Arial"/>
          <w:bCs/>
          <w:sz w:val="24"/>
          <w:szCs w:val="28"/>
          <w:lang w:eastAsia="zh-TW"/>
        </w:rPr>
        <w:t>May</w:t>
      </w:r>
      <w:r w:rsidR="00F45631" w:rsidRPr="00A47373">
        <w:rPr>
          <w:rFonts w:cs="Arial"/>
          <w:bCs/>
          <w:sz w:val="24"/>
          <w:szCs w:val="28"/>
          <w:lang w:eastAsia="zh-TW"/>
        </w:rPr>
        <w:t xml:space="preserve"> </w:t>
      </w:r>
      <w:r w:rsidR="00F45631">
        <w:rPr>
          <w:rFonts w:cs="Arial"/>
          <w:bCs/>
          <w:sz w:val="24"/>
          <w:szCs w:val="28"/>
          <w:lang w:eastAsia="zh-TW"/>
        </w:rPr>
        <w:t>10</w:t>
      </w:r>
      <w:r w:rsidR="00F45631" w:rsidRPr="00A47373">
        <w:rPr>
          <w:rFonts w:cs="Arial"/>
          <w:bCs/>
          <w:sz w:val="24"/>
          <w:szCs w:val="28"/>
          <w:vertAlign w:val="superscript"/>
          <w:lang w:eastAsia="zh-TW"/>
        </w:rPr>
        <w:t>th</w:t>
      </w:r>
      <w:r w:rsidR="00F45631" w:rsidRPr="00A47373">
        <w:rPr>
          <w:rFonts w:cs="Arial"/>
          <w:bCs/>
          <w:sz w:val="24"/>
          <w:szCs w:val="28"/>
          <w:lang w:eastAsia="zh-TW"/>
        </w:rPr>
        <w:t xml:space="preserve"> – </w:t>
      </w:r>
      <w:r w:rsidR="00F45631">
        <w:rPr>
          <w:rFonts w:cs="Arial"/>
          <w:bCs/>
          <w:sz w:val="24"/>
          <w:szCs w:val="28"/>
          <w:lang w:eastAsia="zh-TW"/>
        </w:rPr>
        <w:t>May</w:t>
      </w:r>
      <w:r w:rsidR="00F45631" w:rsidRPr="00A47373">
        <w:rPr>
          <w:rFonts w:cs="Arial"/>
          <w:bCs/>
          <w:sz w:val="24"/>
          <w:szCs w:val="28"/>
          <w:lang w:eastAsia="zh-TW"/>
        </w:rPr>
        <w:t xml:space="preserve"> </w:t>
      </w:r>
      <w:r w:rsidR="00F45631">
        <w:rPr>
          <w:rFonts w:cs="Arial"/>
          <w:bCs/>
          <w:sz w:val="24"/>
          <w:szCs w:val="28"/>
          <w:lang w:eastAsia="zh-TW"/>
        </w:rPr>
        <w:t>27</w:t>
      </w:r>
      <w:r w:rsidR="00F45631" w:rsidRPr="00A47373">
        <w:rPr>
          <w:rFonts w:cs="Arial"/>
          <w:bCs/>
          <w:sz w:val="24"/>
          <w:szCs w:val="28"/>
          <w:vertAlign w:val="superscript"/>
          <w:lang w:eastAsia="zh-TW"/>
        </w:rPr>
        <w:t>th</w:t>
      </w:r>
      <w:r w:rsidR="00F45631" w:rsidRPr="00A47373">
        <w:rPr>
          <w:rFonts w:cs="Arial"/>
          <w:bCs/>
          <w:sz w:val="24"/>
          <w:szCs w:val="28"/>
          <w:lang w:eastAsia="zh-TW"/>
        </w:rPr>
        <w:t>, 2021</w:t>
      </w:r>
      <w:r w:rsidRPr="001E46AC">
        <w:rPr>
          <w:rFonts w:cs="Arial"/>
          <w:bCs/>
          <w:sz w:val="24"/>
        </w:rPr>
        <w:t xml:space="preserve"> </w:t>
      </w:r>
    </w:p>
    <w:p w14:paraId="7CC4AFF2" w14:textId="7F90AF5F" w:rsidR="00DC1245" w:rsidRPr="002824E8" w:rsidRDefault="00DC1245" w:rsidP="00DC1245">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Pr>
          <w:rFonts w:cs="Arial"/>
          <w:bCs/>
          <w:sz w:val="24"/>
          <w:szCs w:val="24"/>
          <w:lang w:val="en-US" w:eastAsia="zh-TW"/>
        </w:rPr>
        <w:t>8.6</w:t>
      </w:r>
      <w:r w:rsidRPr="002824E8">
        <w:rPr>
          <w:rFonts w:cs="Arial"/>
          <w:bCs/>
          <w:sz w:val="24"/>
          <w:szCs w:val="24"/>
          <w:lang w:val="en-US" w:eastAsia="zh-TW"/>
        </w:rPr>
        <w:t>.1</w:t>
      </w:r>
      <w:r w:rsidR="00285C83">
        <w:rPr>
          <w:rFonts w:cs="Arial"/>
          <w:bCs/>
          <w:sz w:val="24"/>
          <w:szCs w:val="24"/>
          <w:lang w:val="en-US" w:eastAsia="zh-TW"/>
        </w:rPr>
        <w:t>.2</w:t>
      </w:r>
    </w:p>
    <w:p w14:paraId="209ED52C" w14:textId="77777777" w:rsidR="00DC1245" w:rsidRPr="00540FA5" w:rsidRDefault="00DC1245" w:rsidP="00DC1245">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0864AF03" w14:textId="2E7EBF01" w:rsidR="00DC1245" w:rsidRPr="00540FA5" w:rsidRDefault="00DC1245" w:rsidP="00DC1245">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Pr="00D3569A">
        <w:rPr>
          <w:rFonts w:eastAsia="MS Mincho" w:cs="Arial"/>
          <w:bCs/>
          <w:sz w:val="24"/>
          <w:szCs w:val="24"/>
          <w:lang w:val="en-US"/>
        </w:rPr>
        <w:t xml:space="preserve">On </w:t>
      </w:r>
      <w:r w:rsidR="003C153E">
        <w:rPr>
          <w:rFonts w:eastAsia="MS Mincho" w:cs="Arial"/>
          <w:bCs/>
          <w:sz w:val="24"/>
          <w:szCs w:val="24"/>
          <w:lang w:val="en-US"/>
        </w:rPr>
        <w:t xml:space="preserve">Reduced </w:t>
      </w:r>
      <w:r w:rsidR="00285C83">
        <w:rPr>
          <w:rFonts w:eastAsia="MS Mincho" w:cs="Arial"/>
          <w:bCs/>
          <w:sz w:val="24"/>
          <w:szCs w:val="24"/>
          <w:lang w:val="en-US"/>
        </w:rPr>
        <w:t>Number of</w:t>
      </w:r>
      <w:r w:rsidR="003C153E">
        <w:rPr>
          <w:rFonts w:eastAsia="MS Mincho" w:cs="Arial"/>
          <w:bCs/>
          <w:sz w:val="24"/>
          <w:szCs w:val="24"/>
          <w:lang w:val="en-US"/>
        </w:rPr>
        <w:t xml:space="preserve"> </w:t>
      </w:r>
      <w:r w:rsidR="00285C83">
        <w:rPr>
          <w:rFonts w:eastAsia="MS Mincho" w:cs="Arial"/>
          <w:bCs/>
          <w:sz w:val="24"/>
          <w:szCs w:val="24"/>
          <w:lang w:val="en-US"/>
        </w:rPr>
        <w:t>RX Branches</w:t>
      </w:r>
      <w:r w:rsidRPr="00D3569A">
        <w:rPr>
          <w:rFonts w:eastAsia="MS Mincho" w:cs="Arial"/>
          <w:bCs/>
          <w:sz w:val="24"/>
          <w:szCs w:val="24"/>
          <w:lang w:val="en-US"/>
        </w:rPr>
        <w:t xml:space="preserve"> for RedCap UEs</w:t>
      </w:r>
    </w:p>
    <w:p w14:paraId="199AB825" w14:textId="77777777" w:rsidR="00DC1245" w:rsidRPr="002824E8" w:rsidRDefault="00DC1245" w:rsidP="00DC1245">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Pr="00540FA5">
        <w:rPr>
          <w:rFonts w:eastAsia="MS Mincho" w:cs="Arial"/>
          <w:bCs/>
          <w:sz w:val="24"/>
          <w:szCs w:val="24"/>
          <w:lang w:val="en-US"/>
        </w:rPr>
        <w:t>Discussion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71A959AB" w14:textId="37FC8DB1" w:rsidR="003C153E" w:rsidRPr="00E75B48" w:rsidRDefault="006040EA" w:rsidP="00E75B48">
      <w:pPr>
        <w:spacing w:before="120" w:after="120"/>
        <w:jc w:val="both"/>
        <w:rPr>
          <w:i/>
          <w:iCs/>
          <w:sz w:val="20"/>
          <w:szCs w:val="20"/>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[2]</w:t>
      </w:r>
      <w:r w:rsidR="0013377B" w:rsidRPr="0088650D">
        <w:rPr>
          <w:rFonts w:eastAsia="SimSun"/>
          <w:sz w:val="20"/>
          <w:lang w:eastAsia="zh-CN"/>
        </w:rPr>
        <w:fldChar w:fldCharType="end"/>
      </w:r>
      <w:r w:rsidR="0013377B" w:rsidRPr="0088650D">
        <w:rPr>
          <w:rFonts w:eastAsia="SimSun"/>
          <w:sz w:val="20"/>
          <w:lang w:eastAsia="zh-CN"/>
        </w:rPr>
        <w:t xml:space="preserve">. The new WI has been </w:t>
      </w:r>
      <w:r w:rsidR="0088650D" w:rsidRPr="0088650D">
        <w:rPr>
          <w:rFonts w:eastAsia="SimSun"/>
          <w:sz w:val="20"/>
          <w:lang w:eastAsia="zh-CN"/>
        </w:rPr>
        <w:t>agreed</w:t>
      </w:r>
      <w:r w:rsidR="009D1F0A">
        <w:rPr>
          <w:rFonts w:eastAsia="SimSun"/>
          <w:sz w:val="20"/>
          <w:lang w:eastAsia="zh-CN"/>
        </w:rPr>
        <w:t xml:space="preserve"> in RAN</w:t>
      </w:r>
      <w:r w:rsidR="00E75B48">
        <w:rPr>
          <w:rFonts w:eastAsia="SimSun"/>
          <w:sz w:val="20"/>
          <w:lang w:eastAsia="zh-CN"/>
        </w:rPr>
        <w:t>#91</w:t>
      </w:r>
      <w:r w:rsidR="0013377B" w:rsidRPr="0088650D">
        <w:rPr>
          <w:rFonts w:eastAsia="SimSun"/>
          <w:sz w:val="20"/>
          <w:lang w:eastAsia="zh-CN"/>
        </w:rPr>
        <w:t xml:space="preserve">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E75B48">
        <w:rPr>
          <w:rFonts w:eastAsia="SimSun"/>
          <w:sz w:val="20"/>
          <w:lang w:eastAsia="zh-CN"/>
        </w:rPr>
        <w:t>[3]</w:t>
      </w:r>
      <w:r w:rsidR="0013377B" w:rsidRPr="0088650D">
        <w:rPr>
          <w:rFonts w:eastAsia="SimSun"/>
          <w:sz w:val="20"/>
          <w:lang w:eastAsia="zh-CN"/>
        </w:rPr>
        <w:fldChar w:fldCharType="end"/>
      </w:r>
      <w:r w:rsidR="00E75B48">
        <w:rPr>
          <w:rFonts w:eastAsia="SimSun"/>
          <w:sz w:val="20"/>
          <w:lang w:eastAsia="zh-CN"/>
        </w:rPr>
        <w:t>, also</w:t>
      </w:r>
      <w:r w:rsidR="00E75B48" w:rsidRPr="00E75B48">
        <w:rPr>
          <w:rFonts w:eastAsia="SimSun"/>
          <w:sz w:val="20"/>
          <w:lang w:eastAsia="zh-CN"/>
        </w:rPr>
        <w:t xml:space="preserve"> supporting 1</w:t>
      </w:r>
      <w:r w:rsidR="00DD1ACC">
        <w:rPr>
          <w:rFonts w:eastAsia="SimSun"/>
          <w:sz w:val="20"/>
          <w:lang w:eastAsia="zh-CN"/>
        </w:rPr>
        <w:t xml:space="preserve"> </w:t>
      </w:r>
      <w:r w:rsidR="00E75B48" w:rsidRPr="00E75B48">
        <w:rPr>
          <w:rFonts w:eastAsia="SimSun"/>
          <w:sz w:val="20"/>
          <w:lang w:eastAsia="zh-CN"/>
        </w:rPr>
        <w:t>Rx</w:t>
      </w:r>
      <w:r w:rsidR="00DD1ACC">
        <w:rPr>
          <w:rFonts w:eastAsia="SimSun"/>
          <w:sz w:val="20"/>
          <w:lang w:eastAsia="zh-CN"/>
        </w:rPr>
        <w:t xml:space="preserve"> branch</w:t>
      </w:r>
      <w:r w:rsidR="00E75B48" w:rsidRPr="00E75B48">
        <w:rPr>
          <w:rFonts w:eastAsia="SimSun"/>
          <w:sz w:val="20"/>
          <w:lang w:eastAsia="zh-CN"/>
        </w:rPr>
        <w:t xml:space="preserve"> option </w:t>
      </w:r>
      <w:r w:rsidR="00DD1ACC">
        <w:rPr>
          <w:rFonts w:eastAsia="SimSun"/>
          <w:sz w:val="20"/>
          <w:lang w:eastAsia="zh-CN"/>
        </w:rPr>
        <w:t>in</w:t>
      </w:r>
      <w:r w:rsidR="00E75B48" w:rsidRPr="00E75B48">
        <w:rPr>
          <w:rFonts w:eastAsia="SimSun"/>
          <w:sz w:val="20"/>
          <w:lang w:eastAsia="zh-CN"/>
        </w:rPr>
        <w:t xml:space="preserve"> FR1</w:t>
      </w:r>
      <w:r w:rsidR="00DD1ACC">
        <w:rPr>
          <w:rFonts w:eastAsia="SimSun"/>
          <w:sz w:val="20"/>
          <w:lang w:eastAsia="zh-CN"/>
        </w:rPr>
        <w:t xml:space="preserve"> TDD bands where 4 Rx branches are mandated as a minimum for non-RedCap UEs</w:t>
      </w:r>
      <w:r w:rsidR="00E75B48" w:rsidRPr="00E75B48">
        <w:rPr>
          <w:iCs/>
          <w:sz w:val="20"/>
          <w:szCs w:val="20"/>
        </w:rPr>
        <w:t>:</w:t>
      </w:r>
    </w:p>
    <w:tbl>
      <w:tblPr>
        <w:tblStyle w:val="TableGrid"/>
        <w:tblW w:w="0" w:type="auto"/>
        <w:tblLook w:val="04A0" w:firstRow="1" w:lastRow="0" w:firstColumn="1" w:lastColumn="0" w:noHBand="0" w:noVBand="1"/>
      </w:tblPr>
      <w:tblGrid>
        <w:gridCol w:w="9631"/>
      </w:tblGrid>
      <w:tr w:rsidR="003C153E" w14:paraId="1AAB684A" w14:textId="77777777" w:rsidTr="003C153E">
        <w:tc>
          <w:tcPr>
            <w:tcW w:w="9631" w:type="dxa"/>
          </w:tcPr>
          <w:p w14:paraId="56CC0768" w14:textId="77777777" w:rsidR="003C153E" w:rsidRPr="0088650D" w:rsidRDefault="003C153E" w:rsidP="003C153E">
            <w:pPr>
              <w:keepNext/>
              <w:keepLines/>
              <w:jc w:val="both"/>
              <w:rPr>
                <w:sz w:val="20"/>
                <w:lang w:eastAsia="x-none"/>
              </w:rPr>
            </w:pPr>
            <w:r w:rsidRPr="0088650D">
              <w:rPr>
                <w:sz w:val="20"/>
                <w:lang w:eastAsia="x-none"/>
              </w:rPr>
              <w:t xml:space="preserve">WI </w:t>
            </w:r>
            <w:r w:rsidRPr="0088650D">
              <w:rPr>
                <w:rFonts w:eastAsia="SimSun"/>
                <w:sz w:val="20"/>
                <w:lang w:eastAsia="zh-CN"/>
              </w:rPr>
              <w:fldChar w:fldCharType="begin"/>
            </w:r>
            <w:r w:rsidRPr="0088650D">
              <w:rPr>
                <w:rFonts w:eastAsia="SimSun"/>
                <w:sz w:val="20"/>
                <w:lang w:eastAsia="zh-CN"/>
              </w:rPr>
              <w:instrText xml:space="preserve"> REF _Ref61883933 \n \h  \* MERGEFORMAT </w:instrText>
            </w:r>
            <w:r w:rsidRPr="0088650D">
              <w:rPr>
                <w:rFonts w:eastAsia="SimSun"/>
                <w:sz w:val="20"/>
                <w:lang w:eastAsia="zh-CN"/>
              </w:rPr>
            </w:r>
            <w:r w:rsidRPr="0088650D">
              <w:rPr>
                <w:rFonts w:eastAsia="SimSun"/>
                <w:sz w:val="20"/>
                <w:lang w:eastAsia="zh-CN"/>
              </w:rPr>
              <w:fldChar w:fldCharType="separate"/>
            </w:r>
            <w:r w:rsidR="00E75B48">
              <w:rPr>
                <w:rFonts w:eastAsia="SimSun"/>
                <w:sz w:val="20"/>
                <w:lang w:eastAsia="zh-CN"/>
              </w:rPr>
              <w:t>[3]</w:t>
            </w:r>
            <w:r w:rsidRPr="0088650D">
              <w:rPr>
                <w:rFonts w:eastAsia="SimSun"/>
                <w:sz w:val="20"/>
                <w:lang w:eastAsia="zh-CN"/>
              </w:rPr>
              <w:fldChar w:fldCharType="end"/>
            </w:r>
            <w:r w:rsidRPr="0088650D">
              <w:rPr>
                <w:sz w:val="20"/>
                <w:lang w:eastAsia="x-none"/>
              </w:rPr>
              <w:t>:</w:t>
            </w:r>
          </w:p>
          <w:p w14:paraId="06E5BD6F" w14:textId="77777777" w:rsidR="00E75B48" w:rsidRPr="00E75B48" w:rsidRDefault="00E75B48" w:rsidP="00E75B48">
            <w:pPr>
              <w:pStyle w:val="BodyText"/>
              <w:numPr>
                <w:ilvl w:val="0"/>
                <w:numId w:val="11"/>
              </w:numPr>
              <w:overflowPunct w:val="0"/>
              <w:spacing w:after="120"/>
              <w:jc w:val="both"/>
              <w:rPr>
                <w:b/>
                <w:i/>
                <w:iCs/>
                <w:sz w:val="20"/>
                <w:szCs w:val="20"/>
              </w:rPr>
            </w:pPr>
            <w:r w:rsidRPr="00E75B48">
              <w:rPr>
                <w:i/>
                <w:iCs/>
                <w:sz w:val="20"/>
                <w:szCs w:val="20"/>
              </w:rPr>
              <w:t>Reduced minimum number of Rx branches:</w:t>
            </w:r>
          </w:p>
          <w:p w14:paraId="36A11009" w14:textId="77777777" w:rsidR="00E75B48" w:rsidRPr="00E75B48" w:rsidRDefault="00E75B48" w:rsidP="00E75B48">
            <w:pPr>
              <w:pStyle w:val="BodyText"/>
              <w:numPr>
                <w:ilvl w:val="1"/>
                <w:numId w:val="11"/>
              </w:numPr>
              <w:overflowPunct w:val="0"/>
              <w:spacing w:after="120"/>
              <w:jc w:val="both"/>
              <w:rPr>
                <w:b/>
                <w:i/>
                <w:iCs/>
                <w:sz w:val="20"/>
                <w:szCs w:val="20"/>
              </w:rPr>
            </w:pPr>
            <w:r w:rsidRPr="00E75B48">
              <w:rPr>
                <w:i/>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BF100C6" w14:textId="77777777" w:rsidR="00E75B48" w:rsidRPr="00E75B48" w:rsidRDefault="00E75B48" w:rsidP="00E75B48">
            <w:pPr>
              <w:pStyle w:val="BodyText"/>
              <w:numPr>
                <w:ilvl w:val="1"/>
                <w:numId w:val="11"/>
              </w:numPr>
              <w:overflowPunct w:val="0"/>
              <w:spacing w:after="120"/>
              <w:jc w:val="both"/>
              <w:rPr>
                <w:i/>
                <w:iCs/>
                <w:sz w:val="20"/>
                <w:szCs w:val="20"/>
              </w:rPr>
            </w:pPr>
            <w:bookmarkStart w:id="3" w:name="_Hlk58502022"/>
            <w:r w:rsidRPr="00E75B48">
              <w:rPr>
                <w:i/>
                <w:iCs/>
                <w:sz w:val="20"/>
                <w:szCs w:val="20"/>
              </w:rPr>
              <w:t xml:space="preserve">For frequency bands where a legacy NR UE (other than 2-Rx vehicular UE) is required to be equipped with a minimum of 4 Rx </w:t>
            </w:r>
            <w:bookmarkEnd w:id="3"/>
            <w:r w:rsidRPr="00E75B48">
              <w:rPr>
                <w:i/>
                <w:iCs/>
                <w:sz w:val="20"/>
                <w:szCs w:val="20"/>
              </w:rPr>
              <w:t xml:space="preserve">antenna ports, the minimum number of Rx </w:t>
            </w:r>
            <w:bookmarkStart w:id="4" w:name="_Hlk58574559"/>
            <w:r w:rsidRPr="00E75B48">
              <w:rPr>
                <w:i/>
                <w:iCs/>
                <w:sz w:val="20"/>
                <w:szCs w:val="20"/>
              </w:rPr>
              <w:t xml:space="preserve">branches </w:t>
            </w:r>
            <w:bookmarkEnd w:id="4"/>
            <w:r w:rsidRPr="00E75B48">
              <w:rPr>
                <w:i/>
                <w:iCs/>
                <w:sz w:val="20"/>
                <w:szCs w:val="20"/>
              </w:rPr>
              <w:t>supported by specification for a RedCap UE is 1. The specification also supports 2 Rx branches for a RedCap UE in these bands.</w:t>
            </w:r>
          </w:p>
          <w:p w14:paraId="371E262D" w14:textId="6AD27B18" w:rsidR="007B141E" w:rsidRPr="00E75B48" w:rsidRDefault="00E75B48" w:rsidP="00E75B48">
            <w:pPr>
              <w:pStyle w:val="BodyText"/>
              <w:numPr>
                <w:ilvl w:val="1"/>
                <w:numId w:val="11"/>
              </w:numPr>
              <w:overflowPunct w:val="0"/>
              <w:spacing w:after="120"/>
              <w:jc w:val="both"/>
              <w:rPr>
                <w:b/>
                <w:i/>
                <w:iCs/>
              </w:rPr>
            </w:pPr>
            <w:r w:rsidRPr="00E75B48">
              <w:rPr>
                <w:i/>
                <w:iCs/>
                <w:sz w:val="20"/>
                <w:szCs w:val="20"/>
              </w:rPr>
              <w:t>A means shall be specified by which the gNB can know the number of Rx branches of the UE.</w:t>
            </w:r>
          </w:p>
        </w:tc>
      </w:tr>
    </w:tbl>
    <w:p w14:paraId="342F0807" w14:textId="13356998" w:rsidR="0016526F" w:rsidRPr="0016526F" w:rsidRDefault="0016526F" w:rsidP="00B2147F">
      <w:pPr>
        <w:spacing w:before="120" w:after="120"/>
        <w:jc w:val="both"/>
        <w:rPr>
          <w:iCs/>
          <w:sz w:val="20"/>
          <w:szCs w:val="20"/>
        </w:rPr>
      </w:pPr>
      <w:r>
        <w:rPr>
          <w:iCs/>
          <w:sz w:val="20"/>
          <w:szCs w:val="20"/>
        </w:rPr>
        <w:t>RAN1</w:t>
      </w:r>
      <w:r w:rsidR="00F83513">
        <w:rPr>
          <w:iCs/>
          <w:sz w:val="20"/>
          <w:szCs w:val="20"/>
        </w:rPr>
        <w:t>#104-e</w:t>
      </w:r>
      <w:r>
        <w:rPr>
          <w:iCs/>
          <w:sz w:val="20"/>
          <w:szCs w:val="20"/>
        </w:rPr>
        <w:t xml:space="preserve"> </w:t>
      </w:r>
      <w:r w:rsidR="00F133CE">
        <w:rPr>
          <w:iCs/>
          <w:sz w:val="20"/>
          <w:szCs w:val="20"/>
        </w:rPr>
        <w:t xml:space="preserve">made the following </w:t>
      </w:r>
      <w:r>
        <w:rPr>
          <w:iCs/>
          <w:sz w:val="20"/>
          <w:szCs w:val="20"/>
        </w:rPr>
        <w:t>agreement</w:t>
      </w:r>
      <w:r w:rsidR="00F83513">
        <w:rPr>
          <w:iCs/>
          <w:sz w:val="20"/>
          <w:szCs w:val="20"/>
        </w:rPr>
        <w:t xml:space="preserve"> in addition</w:t>
      </w:r>
      <w:r>
        <w:rPr>
          <w:iCs/>
          <w:sz w:val="20"/>
          <w:szCs w:val="20"/>
        </w:rPr>
        <w:t>:</w:t>
      </w:r>
    </w:p>
    <w:tbl>
      <w:tblPr>
        <w:tblStyle w:val="TableGrid"/>
        <w:tblW w:w="0" w:type="auto"/>
        <w:tblLook w:val="04A0" w:firstRow="1" w:lastRow="0" w:firstColumn="1" w:lastColumn="0" w:noHBand="0" w:noVBand="1"/>
      </w:tblPr>
      <w:tblGrid>
        <w:gridCol w:w="9631"/>
      </w:tblGrid>
      <w:tr w:rsidR="00882F44" w14:paraId="15FDFD95" w14:textId="77777777" w:rsidTr="00882F44">
        <w:tc>
          <w:tcPr>
            <w:tcW w:w="9631" w:type="dxa"/>
          </w:tcPr>
          <w:p w14:paraId="1946B69B" w14:textId="77777777" w:rsidR="0016526F" w:rsidRPr="0016526F" w:rsidRDefault="0016526F" w:rsidP="0016526F">
            <w:pPr>
              <w:jc w:val="both"/>
              <w:rPr>
                <w:sz w:val="20"/>
                <w:szCs w:val="20"/>
                <w:highlight w:val="green"/>
              </w:rPr>
            </w:pPr>
            <w:r w:rsidRPr="0016526F">
              <w:rPr>
                <w:sz w:val="20"/>
                <w:szCs w:val="20"/>
                <w:highlight w:val="green"/>
              </w:rPr>
              <w:t>Agreements:</w:t>
            </w:r>
          </w:p>
          <w:p w14:paraId="48D808A3" w14:textId="77777777" w:rsidR="0016526F" w:rsidRPr="0016526F" w:rsidRDefault="0016526F" w:rsidP="0016526F">
            <w:pPr>
              <w:numPr>
                <w:ilvl w:val="0"/>
                <w:numId w:val="25"/>
              </w:numPr>
              <w:jc w:val="both"/>
              <w:rPr>
                <w:sz w:val="20"/>
                <w:szCs w:val="20"/>
              </w:rPr>
            </w:pPr>
            <w:r w:rsidRPr="0016526F">
              <w:rPr>
                <w:sz w:val="20"/>
                <w:szCs w:val="20"/>
              </w:rPr>
              <w:t>For reduced minimum number of Rx branches in FR1 and FR2 frequency bands where a legacy NR UE is required to be equipped with a minimum of 2 Rx antenna ports:</w:t>
            </w:r>
          </w:p>
          <w:p w14:paraId="22D03520" w14:textId="77777777" w:rsidR="0016526F" w:rsidRPr="0016526F" w:rsidRDefault="0016526F" w:rsidP="0016526F">
            <w:pPr>
              <w:numPr>
                <w:ilvl w:val="1"/>
                <w:numId w:val="25"/>
              </w:numPr>
              <w:jc w:val="both"/>
              <w:rPr>
                <w:sz w:val="20"/>
                <w:szCs w:val="20"/>
              </w:rPr>
            </w:pPr>
            <w:r w:rsidRPr="0016526F">
              <w:rPr>
                <w:sz w:val="20"/>
                <w:szCs w:val="20"/>
              </w:rPr>
              <w:t>FFS: need for solutions to reduced PDCCH blocking</w:t>
            </w:r>
          </w:p>
          <w:p w14:paraId="2892D349" w14:textId="77777777" w:rsidR="0016526F" w:rsidRPr="0016526F" w:rsidRDefault="0016526F" w:rsidP="0016526F">
            <w:pPr>
              <w:numPr>
                <w:ilvl w:val="1"/>
                <w:numId w:val="25"/>
              </w:numPr>
              <w:jc w:val="both"/>
              <w:rPr>
                <w:sz w:val="20"/>
                <w:szCs w:val="20"/>
              </w:rPr>
            </w:pPr>
            <w:r w:rsidRPr="0016526F">
              <w:rPr>
                <w:sz w:val="20"/>
                <w:szCs w:val="20"/>
              </w:rPr>
              <w:t>FFS: need for reporting of UE antenna related information to gNB (e.g., # of panels, polarization, etc.)</w:t>
            </w:r>
          </w:p>
          <w:p w14:paraId="5A58A6A5" w14:textId="3DF4A198" w:rsidR="00882F44" w:rsidRPr="0016526F" w:rsidRDefault="0016526F" w:rsidP="0016526F">
            <w:pPr>
              <w:numPr>
                <w:ilvl w:val="1"/>
                <w:numId w:val="25"/>
              </w:numPr>
              <w:spacing w:after="180"/>
              <w:ind w:left="1494"/>
              <w:jc w:val="both"/>
            </w:pPr>
            <w:r w:rsidRPr="0016526F">
              <w:rPr>
                <w:sz w:val="20"/>
                <w:szCs w:val="20"/>
              </w:rPr>
              <w:t>Information related to the reduction of the number of antenna branches is assumed to be known at the gNB (either implicitly or explicitly, to be FFS)</w:t>
            </w:r>
          </w:p>
        </w:tc>
      </w:tr>
    </w:tbl>
    <w:p w14:paraId="522767B2" w14:textId="77777777" w:rsidR="00F83513" w:rsidRPr="0016526F" w:rsidRDefault="00F83513" w:rsidP="00F83513">
      <w:pPr>
        <w:spacing w:before="120" w:after="120"/>
        <w:jc w:val="both"/>
        <w:rPr>
          <w:iCs/>
          <w:sz w:val="20"/>
          <w:szCs w:val="20"/>
        </w:rPr>
      </w:pPr>
      <w:r>
        <w:rPr>
          <w:iCs/>
          <w:sz w:val="20"/>
          <w:szCs w:val="20"/>
        </w:rPr>
        <w:t>RAN1 also made the following agreement:</w:t>
      </w:r>
    </w:p>
    <w:tbl>
      <w:tblPr>
        <w:tblStyle w:val="TableGrid"/>
        <w:tblW w:w="0" w:type="auto"/>
        <w:tblLook w:val="04A0" w:firstRow="1" w:lastRow="0" w:firstColumn="1" w:lastColumn="0" w:noHBand="0" w:noVBand="1"/>
      </w:tblPr>
      <w:tblGrid>
        <w:gridCol w:w="9631"/>
      </w:tblGrid>
      <w:tr w:rsidR="00F83513" w:rsidRPr="00F11458" w14:paraId="1071EE84" w14:textId="77777777" w:rsidTr="006B25B8">
        <w:tc>
          <w:tcPr>
            <w:tcW w:w="9631" w:type="dxa"/>
          </w:tcPr>
          <w:p w14:paraId="3B2107E8" w14:textId="77777777" w:rsidR="00F83513" w:rsidRDefault="00F83513" w:rsidP="006B25B8">
            <w:pPr>
              <w:pStyle w:val="NormalWeb"/>
              <w:spacing w:before="120" w:beforeAutospacing="0" w:after="0" w:afterAutospacing="0"/>
              <w:rPr>
                <w:rFonts w:ascii="Times" w:hAnsi="Times" w:cs="Times"/>
                <w:color w:val="000000"/>
                <w:sz w:val="20"/>
                <w:szCs w:val="20"/>
                <w:lang w:val="en-GB"/>
              </w:rPr>
            </w:pPr>
            <w:r>
              <w:rPr>
                <w:rFonts w:ascii="Times" w:hAnsi="Times" w:cs="Times"/>
                <w:color w:val="000000"/>
                <w:sz w:val="20"/>
                <w:szCs w:val="20"/>
                <w:highlight w:val="green"/>
                <w:lang w:val="en-GB"/>
              </w:rPr>
              <w:t>Agreements</w:t>
            </w:r>
            <w:r>
              <w:rPr>
                <w:rFonts w:ascii="Times" w:hAnsi="Times" w:cs="Times"/>
                <w:color w:val="000000"/>
                <w:sz w:val="20"/>
                <w:szCs w:val="20"/>
                <w:lang w:val="en-GB"/>
              </w:rPr>
              <w:t>:</w:t>
            </w:r>
          </w:p>
          <w:p w14:paraId="7D391663" w14:textId="77777777" w:rsidR="00F83513" w:rsidRDefault="00F83513" w:rsidP="006B25B8">
            <w:pPr>
              <w:numPr>
                <w:ilvl w:val="0"/>
                <w:numId w:val="27"/>
              </w:numPr>
              <w:ind w:left="540"/>
              <w:textAlignment w:val="center"/>
              <w:rPr>
                <w:rFonts w:ascii="Calibri" w:hAnsi="Calibri"/>
                <w:color w:val="000000"/>
                <w:sz w:val="22"/>
                <w:szCs w:val="22"/>
                <w:lang w:val="en-GB"/>
              </w:rPr>
            </w:pPr>
            <w:r>
              <w:rPr>
                <w:rFonts w:ascii="Times" w:hAnsi="Times" w:cs="Times"/>
                <w:color w:val="000000"/>
                <w:sz w:val="20"/>
                <w:szCs w:val="20"/>
                <w:lang w:val="en-GB"/>
              </w:rPr>
              <w:t xml:space="preserve">Reuse </w:t>
            </w:r>
            <w:r>
              <w:rPr>
                <w:rFonts w:ascii="Times" w:hAnsi="Times" w:cs="Times"/>
                <w:strike/>
                <w:color w:val="008080"/>
                <w:sz w:val="20"/>
                <w:szCs w:val="20"/>
                <w:u w:val="single"/>
                <w:lang w:val="en-GB"/>
              </w:rPr>
              <w:t>at least</w:t>
            </w:r>
            <w:r>
              <w:rPr>
                <w:rFonts w:ascii="Times" w:hAnsi="Times" w:cs="Times"/>
                <w:color w:val="008080"/>
                <w:sz w:val="20"/>
                <w:szCs w:val="20"/>
                <w:u w:val="single"/>
                <w:lang w:val="en-GB"/>
              </w:rPr>
              <w:t xml:space="preserve"> </w:t>
            </w:r>
            <w:r>
              <w:rPr>
                <w:rFonts w:ascii="Times" w:hAnsi="Times" w:cs="Times"/>
                <w:color w:val="000000"/>
                <w:sz w:val="20"/>
                <w:szCs w:val="20"/>
                <w:lang w:val="en-GB"/>
              </w:rPr>
              <w:t>the existing DCI formats</w:t>
            </w:r>
            <w:r>
              <w:rPr>
                <w:rFonts w:ascii="Times" w:hAnsi="Times" w:cs="Times"/>
                <w:color w:val="008080"/>
                <w:sz w:val="20"/>
                <w:szCs w:val="20"/>
                <w:u w:val="single"/>
                <w:lang w:val="en-GB"/>
              </w:rPr>
              <w:t xml:space="preserve"> 0_x/1_x</w:t>
            </w:r>
            <w:r>
              <w:rPr>
                <w:rFonts w:ascii="Times" w:hAnsi="Times" w:cs="Times"/>
                <w:color w:val="000000"/>
                <w:sz w:val="20"/>
                <w:szCs w:val="20"/>
                <w:lang w:val="en-GB"/>
              </w:rPr>
              <w:t xml:space="preserve"> (including Rel-16 DCI format 0_2/1_2)</w:t>
            </w:r>
            <w:r>
              <w:rPr>
                <w:rFonts w:ascii="Times" w:hAnsi="Times" w:cs="Times"/>
                <w:color w:val="008080"/>
                <w:sz w:val="20"/>
                <w:szCs w:val="20"/>
                <w:u w:val="single"/>
                <w:lang w:val="en-GB"/>
              </w:rPr>
              <w:t xml:space="preserve"> applicable to</w:t>
            </w:r>
            <w:r>
              <w:rPr>
                <w:rFonts w:ascii="Times" w:hAnsi="Times" w:cs="Times"/>
                <w:color w:val="000000"/>
                <w:sz w:val="20"/>
                <w:szCs w:val="20"/>
                <w:lang w:val="en-GB"/>
              </w:rPr>
              <w:t xml:space="preserve"> Redcap devices as a starting point.  </w:t>
            </w:r>
          </w:p>
          <w:p w14:paraId="121CBC45" w14:textId="77777777" w:rsidR="00F83513" w:rsidRDefault="00F83513" w:rsidP="006B25B8">
            <w:pPr>
              <w:numPr>
                <w:ilvl w:val="1"/>
                <w:numId w:val="27"/>
              </w:numPr>
              <w:ind w:left="1620"/>
              <w:textAlignment w:val="center"/>
              <w:rPr>
                <w:rFonts w:ascii="Calibri" w:hAnsi="Calibri"/>
                <w:color w:val="000000"/>
                <w:sz w:val="22"/>
                <w:szCs w:val="22"/>
                <w:lang w:val="en-GB"/>
              </w:rPr>
            </w:pPr>
            <w:r>
              <w:rPr>
                <w:rFonts w:ascii="Times" w:hAnsi="Times" w:cs="Times"/>
                <w:color w:val="000000"/>
                <w:sz w:val="20"/>
                <w:szCs w:val="20"/>
                <w:lang w:val="en-GB"/>
              </w:rPr>
              <w:t xml:space="preserve">FFS </w:t>
            </w:r>
            <w:r>
              <w:rPr>
                <w:rFonts w:ascii="Times" w:hAnsi="Times" w:cs="Times"/>
                <w:color w:val="008080"/>
                <w:sz w:val="20"/>
                <w:szCs w:val="20"/>
                <w:u w:val="single"/>
                <w:lang w:val="en-GB"/>
              </w:rPr>
              <w:t xml:space="preserve">Whether and how </w:t>
            </w:r>
            <w:r>
              <w:rPr>
                <w:rFonts w:ascii="Times" w:hAnsi="Times" w:cs="Times"/>
                <w:color w:val="000000"/>
                <w:sz w:val="20"/>
                <w:szCs w:val="20"/>
                <w:lang w:val="en-GB"/>
              </w:rPr>
              <w:t>potential modification on fields of existing DCI formats</w:t>
            </w:r>
            <w:r>
              <w:rPr>
                <w:rFonts w:ascii="Times" w:hAnsi="Times" w:cs="Times"/>
                <w:color w:val="008080"/>
                <w:sz w:val="20"/>
                <w:szCs w:val="20"/>
                <w:u w:val="single"/>
                <w:lang w:val="en-GB"/>
              </w:rPr>
              <w:t xml:space="preserve"> is considered to reduce PDCCH block issue, if any</w:t>
            </w:r>
            <w:r>
              <w:rPr>
                <w:rFonts w:ascii="Times" w:hAnsi="Times" w:cs="Times"/>
                <w:color w:val="000000"/>
                <w:sz w:val="20"/>
                <w:szCs w:val="20"/>
                <w:lang w:val="en-GB"/>
              </w:rPr>
              <w:t>.</w:t>
            </w:r>
          </w:p>
          <w:p w14:paraId="736F508C" w14:textId="77777777" w:rsidR="00F83513" w:rsidRPr="00F11458" w:rsidRDefault="00F83513" w:rsidP="006B25B8">
            <w:pPr>
              <w:numPr>
                <w:ilvl w:val="1"/>
                <w:numId w:val="27"/>
              </w:numPr>
              <w:spacing w:after="120"/>
              <w:ind w:left="1616" w:hanging="357"/>
              <w:textAlignment w:val="center"/>
              <w:rPr>
                <w:rFonts w:ascii="Calibri" w:hAnsi="Calibri"/>
                <w:color w:val="000000"/>
                <w:sz w:val="22"/>
                <w:szCs w:val="22"/>
                <w:lang w:val="en-GB"/>
              </w:rPr>
            </w:pPr>
            <w:r>
              <w:rPr>
                <w:rFonts w:ascii="Times" w:hAnsi="Times" w:cs="Times"/>
                <w:color w:val="008080"/>
                <w:sz w:val="20"/>
                <w:szCs w:val="20"/>
                <w:u w:val="single"/>
                <w:lang w:val="en-GB"/>
              </w:rPr>
              <w:t>FFS: Which DCI formats are mandatory for the RedCap UEs to support.</w:t>
            </w:r>
          </w:p>
        </w:tc>
      </w:tr>
    </w:tbl>
    <w:p w14:paraId="319B6D4B" w14:textId="5F88B66E" w:rsidR="00F11458" w:rsidRPr="00F83513" w:rsidRDefault="00F83513" w:rsidP="00F83513">
      <w:pPr>
        <w:spacing w:before="120" w:after="120"/>
        <w:jc w:val="both"/>
        <w:rPr>
          <w:iCs/>
          <w:sz w:val="20"/>
          <w:szCs w:val="20"/>
        </w:rPr>
      </w:pPr>
      <w:r w:rsidRPr="00F83513">
        <w:rPr>
          <w:iCs/>
          <w:sz w:val="20"/>
          <w:szCs w:val="20"/>
        </w:rPr>
        <w:t xml:space="preserve">In this contribution, we address issues related to </w:t>
      </w:r>
      <w:r w:rsidR="00A93B4B">
        <w:rPr>
          <w:iCs/>
          <w:sz w:val="20"/>
          <w:szCs w:val="20"/>
        </w:rPr>
        <w:t xml:space="preserve">the </w:t>
      </w:r>
      <w:r w:rsidRPr="00F83513">
        <w:rPr>
          <w:iCs/>
          <w:sz w:val="20"/>
          <w:szCs w:val="20"/>
        </w:rPr>
        <w:t>reduced number of Rx branches</w:t>
      </w:r>
      <w:r w:rsidR="00A93B4B">
        <w:rPr>
          <w:iCs/>
          <w:sz w:val="20"/>
          <w:szCs w:val="20"/>
        </w:rPr>
        <w:t xml:space="preserve">, in particular </w:t>
      </w:r>
      <w:r w:rsidR="00604FF0">
        <w:rPr>
          <w:iCs/>
          <w:sz w:val="20"/>
          <w:szCs w:val="20"/>
        </w:rPr>
        <w:t xml:space="preserve">in relation </w:t>
      </w:r>
      <w:r w:rsidR="00A93B4B">
        <w:rPr>
          <w:iCs/>
          <w:sz w:val="20"/>
          <w:szCs w:val="20"/>
        </w:rPr>
        <w:t>with PDCCH blocking and early UE identification</w:t>
      </w:r>
      <w:r w:rsidRPr="00F83513">
        <w:rPr>
          <w:iCs/>
          <w:sz w:val="20"/>
          <w:szCs w:val="20"/>
        </w:rPr>
        <w:t>.</w:t>
      </w:r>
    </w:p>
    <w:p w14:paraId="148D9633" w14:textId="60988B50" w:rsidR="00D746BC" w:rsidRPr="00D746BC" w:rsidRDefault="001F6664" w:rsidP="00D746BC">
      <w:pPr>
        <w:pStyle w:val="Heading1"/>
        <w:ind w:left="431" w:hanging="431"/>
      </w:pPr>
      <w:r>
        <w:t>PDCCH blocking</w:t>
      </w:r>
    </w:p>
    <w:p w14:paraId="5050C7E0" w14:textId="1044E727" w:rsidR="001F6664" w:rsidRDefault="001F6664" w:rsidP="00431A28">
      <w:pPr>
        <w:spacing w:before="120" w:after="120"/>
        <w:jc w:val="both"/>
        <w:rPr>
          <w:rFonts w:eastAsia="SimSun"/>
          <w:sz w:val="20"/>
          <w:lang w:eastAsia="zh-CN"/>
        </w:rPr>
      </w:pPr>
      <w:r>
        <w:rPr>
          <w:rFonts w:eastAsia="SimSun"/>
          <w:sz w:val="20"/>
          <w:lang w:eastAsia="zh-CN"/>
        </w:rPr>
        <w:t>The r</w:t>
      </w:r>
      <w:r w:rsidR="00431A28" w:rsidRPr="00431A28">
        <w:rPr>
          <w:rFonts w:eastAsia="SimSun"/>
          <w:sz w:val="20"/>
          <w:lang w:eastAsia="zh-CN"/>
        </w:rPr>
        <w:t>educed number of Rx branches</w:t>
      </w:r>
      <w:r>
        <w:rPr>
          <w:rFonts w:eastAsia="SimSun"/>
          <w:sz w:val="20"/>
          <w:lang w:eastAsia="zh-CN"/>
        </w:rPr>
        <w:t xml:space="preserve"> needs to be compensated for by higher aggregation level of PDCCH transmission resources. This may increase the risk of PDCCH blocking. The R15/R16 standard provides a number of means to avoid PDCCH blocking even in URLLC scenarios with very strict latency and reliability scenarios. The question is whether these are sufficient to handle RedCap UE devices. </w:t>
      </w:r>
    </w:p>
    <w:p w14:paraId="72198B44" w14:textId="7C6027EA" w:rsidR="00A93B4B" w:rsidRDefault="001F6664" w:rsidP="00431A28">
      <w:pPr>
        <w:spacing w:before="120" w:after="120"/>
        <w:jc w:val="both"/>
        <w:rPr>
          <w:rFonts w:eastAsia="SimSun"/>
          <w:sz w:val="20"/>
          <w:lang w:eastAsia="zh-CN"/>
        </w:rPr>
      </w:pPr>
      <w:r>
        <w:rPr>
          <w:rFonts w:eastAsia="SimSun"/>
          <w:sz w:val="20"/>
          <w:lang w:eastAsia="zh-CN"/>
        </w:rPr>
        <w:t xml:space="preserve">The coverage impact of reduced number of Rx branches has been analyzed in </w:t>
      </w:r>
      <w:r>
        <w:rPr>
          <w:rFonts w:eastAsia="SimSun"/>
          <w:sz w:val="20"/>
          <w:lang w:eastAsia="zh-CN"/>
        </w:rPr>
        <w:fldChar w:fldCharType="begin"/>
      </w:r>
      <w:r>
        <w:rPr>
          <w:rFonts w:eastAsia="SimSun"/>
          <w:sz w:val="20"/>
          <w:lang w:eastAsia="zh-CN"/>
        </w:rPr>
        <w:instrText xml:space="preserve"> REF _Ref68560161 \n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t xml:space="preserve"> and the representative figures </w:t>
      </w:r>
      <w:r w:rsidR="00604FF0">
        <w:rPr>
          <w:rFonts w:eastAsia="SimSun"/>
          <w:sz w:val="20"/>
          <w:lang w:eastAsia="zh-CN"/>
        </w:rPr>
        <w:t xml:space="preserve">captured for PDCCH are </w:t>
      </w:r>
      <w:r>
        <w:rPr>
          <w:rFonts w:eastAsia="SimSun"/>
          <w:sz w:val="20"/>
          <w:lang w:eastAsia="zh-CN"/>
        </w:rPr>
        <w:t xml:space="preserve">summarized in Table 1 </w:t>
      </w:r>
      <w:r w:rsidR="00604FF0">
        <w:rPr>
          <w:rFonts w:eastAsia="SimSun"/>
          <w:sz w:val="20"/>
          <w:lang w:eastAsia="zh-CN"/>
        </w:rPr>
        <w:t>for</w:t>
      </w:r>
      <w:r>
        <w:rPr>
          <w:rFonts w:eastAsia="SimSun"/>
          <w:sz w:val="20"/>
          <w:lang w:eastAsia="zh-CN"/>
        </w:rPr>
        <w:t xml:space="preserve"> different use cases. The table also shows the coverage for PDSCH and PUSCH </w:t>
      </w:r>
      <w:r w:rsidR="00604FF0">
        <w:rPr>
          <w:rFonts w:eastAsia="SimSun"/>
          <w:sz w:val="20"/>
          <w:lang w:eastAsia="zh-CN"/>
        </w:rPr>
        <w:lastRenderedPageBreak/>
        <w:t>for</w:t>
      </w:r>
      <w:r>
        <w:rPr>
          <w:rFonts w:eastAsia="SimSun"/>
          <w:sz w:val="20"/>
          <w:lang w:eastAsia="zh-CN"/>
        </w:rPr>
        <w:t xml:space="preserve"> a reference. The figures are taken from Sections 9.1.1-9.1.4 in </w:t>
      </w:r>
      <w:r>
        <w:rPr>
          <w:rFonts w:eastAsia="SimSun"/>
          <w:sz w:val="20"/>
          <w:lang w:eastAsia="zh-CN"/>
        </w:rPr>
        <w:fldChar w:fldCharType="begin"/>
      </w:r>
      <w:r>
        <w:rPr>
          <w:rFonts w:eastAsia="SimSun"/>
          <w:sz w:val="20"/>
          <w:lang w:eastAsia="zh-CN"/>
        </w:rPr>
        <w:instrText xml:space="preserve"> REF _Ref68560161 \n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sidR="008236E5">
        <w:rPr>
          <w:rFonts w:eastAsia="SimSun"/>
          <w:sz w:val="20"/>
          <w:lang w:eastAsia="zh-CN"/>
        </w:rPr>
        <w:t xml:space="preserve"> and represent the margin with respect to the MIL of the reference </w:t>
      </w:r>
      <w:r w:rsidR="00604FF0">
        <w:rPr>
          <w:rFonts w:eastAsia="SimSun"/>
          <w:sz w:val="20"/>
          <w:lang w:eastAsia="zh-CN"/>
        </w:rPr>
        <w:t xml:space="preserve">non-RedCap </w:t>
      </w:r>
      <w:r w:rsidR="008236E5">
        <w:rPr>
          <w:rFonts w:eastAsia="SimSun"/>
          <w:sz w:val="20"/>
          <w:lang w:eastAsia="zh-CN"/>
        </w:rPr>
        <w:t>NR</w:t>
      </w:r>
      <w:r w:rsidR="00604FF0">
        <w:rPr>
          <w:rFonts w:eastAsia="SimSun"/>
          <w:sz w:val="20"/>
          <w:lang w:eastAsia="zh-CN"/>
        </w:rPr>
        <w:t xml:space="preserve"> device</w:t>
      </w:r>
      <w:r>
        <w:rPr>
          <w:rFonts w:eastAsia="SimSun"/>
          <w:sz w:val="20"/>
          <w:lang w:eastAsia="zh-CN"/>
        </w:rPr>
        <w:t>.</w:t>
      </w:r>
    </w:p>
    <w:p w14:paraId="5AF20174" w14:textId="25F9A8BB" w:rsidR="001F6664" w:rsidRDefault="008236E5" w:rsidP="00431A28">
      <w:pPr>
        <w:spacing w:before="120" w:after="120"/>
        <w:jc w:val="both"/>
        <w:rPr>
          <w:rFonts w:eastAsia="SimSun"/>
          <w:sz w:val="20"/>
          <w:lang w:eastAsia="zh-CN"/>
        </w:rPr>
      </w:pPr>
      <w:r>
        <w:rPr>
          <w:rFonts w:eastAsia="SimSun"/>
          <w:sz w:val="20"/>
          <w:lang w:eastAsia="zh-CN"/>
        </w:rPr>
        <w:t>From the table it is clear that PDCCH</w:t>
      </w:r>
      <w:r w:rsidR="001F6664">
        <w:rPr>
          <w:rFonts w:eastAsia="SimSun"/>
          <w:sz w:val="20"/>
          <w:lang w:eastAsia="zh-CN"/>
        </w:rPr>
        <w:t xml:space="preserve"> </w:t>
      </w:r>
      <w:r>
        <w:rPr>
          <w:rFonts w:eastAsia="SimSun"/>
          <w:sz w:val="20"/>
          <w:lang w:eastAsia="zh-CN"/>
        </w:rPr>
        <w:t xml:space="preserve">coverage has more than 7 dB margin in most use cases, hence even AL4 can be used by many cell edge </w:t>
      </w:r>
      <w:r w:rsidR="00E45FC5">
        <w:rPr>
          <w:rFonts w:eastAsia="SimSun"/>
          <w:sz w:val="20"/>
          <w:lang w:eastAsia="zh-CN"/>
        </w:rPr>
        <w:t xml:space="preserve">RedCap </w:t>
      </w:r>
      <w:r>
        <w:rPr>
          <w:rFonts w:eastAsia="SimSun"/>
          <w:sz w:val="20"/>
          <w:lang w:eastAsia="zh-CN"/>
        </w:rPr>
        <w:t xml:space="preserve">UE’s. The lowest margin is observed </w:t>
      </w:r>
      <w:r w:rsidRPr="001F6664">
        <w:rPr>
          <w:rFonts w:eastAsia="SimSun"/>
          <w:sz w:val="20"/>
          <w:szCs w:val="20"/>
          <w:lang w:eastAsia="zh-CN"/>
        </w:rPr>
        <w:t>with 24 dBm/MHz PSD</w:t>
      </w:r>
      <w:r>
        <w:rPr>
          <w:rFonts w:eastAsia="SimSun"/>
          <w:sz w:val="20"/>
          <w:szCs w:val="20"/>
          <w:lang w:eastAsia="zh-CN"/>
        </w:rPr>
        <w:t xml:space="preserve"> deployment at 4 GHz carrier, used in dense urban deployments. In th</w:t>
      </w:r>
      <w:r w:rsidR="00E45FC5">
        <w:rPr>
          <w:rFonts w:eastAsia="SimSun"/>
          <w:sz w:val="20"/>
          <w:szCs w:val="20"/>
          <w:lang w:eastAsia="zh-CN"/>
        </w:rPr>
        <w:t>is scenario</w:t>
      </w:r>
      <w:r>
        <w:rPr>
          <w:rFonts w:eastAsia="SimSun"/>
          <w:sz w:val="20"/>
          <w:szCs w:val="20"/>
          <w:lang w:eastAsia="zh-CN"/>
        </w:rPr>
        <w:t>, a convenient way to prevent PDCCH blockage is to apply a boost to PDCCH transmission. A 3 dB enhancement is also achievable by applying compact DCI. Although the latter solution restricts the scheduling configuration, we note that the majority of UEs, having better link qualities, can still be scheduled flexibly thus preserving the cell capacity. In the case of RedCap UE’s with 1Rx branch at 4 GHz carrier in dense urban deployment, it is worth to mention that these devices are also limited in form factor, hence in battery and other capabilities</w:t>
      </w:r>
      <w:r w:rsidR="00E45FC5">
        <w:rPr>
          <w:rFonts w:eastAsia="SimSun"/>
          <w:sz w:val="20"/>
          <w:szCs w:val="20"/>
          <w:lang w:eastAsia="zh-CN"/>
        </w:rPr>
        <w:t>, too, which in turn</w:t>
      </w:r>
      <w:r>
        <w:rPr>
          <w:rFonts w:eastAsia="SimSun"/>
          <w:sz w:val="20"/>
          <w:szCs w:val="20"/>
          <w:lang w:eastAsia="zh-CN"/>
        </w:rPr>
        <w:t xml:space="preserve"> would be required to generate </w:t>
      </w:r>
      <w:r w:rsidR="008C0EF9">
        <w:rPr>
          <w:rFonts w:eastAsia="SimSun"/>
          <w:sz w:val="20"/>
          <w:szCs w:val="20"/>
          <w:lang w:eastAsia="zh-CN"/>
        </w:rPr>
        <w:t>significant</w:t>
      </w:r>
      <w:r>
        <w:rPr>
          <w:rFonts w:eastAsia="SimSun"/>
          <w:sz w:val="20"/>
          <w:szCs w:val="20"/>
          <w:lang w:eastAsia="zh-CN"/>
        </w:rPr>
        <w:t xml:space="preserve"> volumes of traffic</w:t>
      </w:r>
      <w:r w:rsidR="008C0EF9">
        <w:rPr>
          <w:rFonts w:eastAsia="SimSun"/>
          <w:sz w:val="20"/>
          <w:szCs w:val="20"/>
          <w:lang w:eastAsia="zh-CN"/>
        </w:rPr>
        <w:t xml:space="preserve"> with high probability</w:t>
      </w:r>
      <w:r w:rsidR="00E45FC5">
        <w:rPr>
          <w:rFonts w:eastAsia="SimSun"/>
          <w:sz w:val="20"/>
          <w:szCs w:val="20"/>
          <w:lang w:eastAsia="zh-CN"/>
        </w:rPr>
        <w:t xml:space="preserve"> at a given time</w:t>
      </w:r>
      <w:r w:rsidR="008C0EF9">
        <w:rPr>
          <w:rFonts w:eastAsia="SimSun"/>
          <w:sz w:val="20"/>
          <w:szCs w:val="20"/>
          <w:lang w:eastAsia="zh-CN"/>
        </w:rPr>
        <w:t xml:space="preserve">. </w:t>
      </w:r>
      <w:r w:rsidR="00C50FE6">
        <w:rPr>
          <w:rFonts w:eastAsia="SimSun"/>
          <w:sz w:val="20"/>
          <w:szCs w:val="20"/>
          <w:lang w:eastAsia="zh-CN"/>
        </w:rPr>
        <w:t>Temporary blocking of PDCCH can be handled by delaying the transmission as the latency requirements are not stringent for RedCap applications. For more permanent conditions the PDCCH of UEs with limited number Rx branches can be offloaded to additional CORESETs.</w:t>
      </w:r>
      <w:r w:rsidR="008C0EF9">
        <w:rPr>
          <w:rFonts w:eastAsia="SimSun"/>
          <w:sz w:val="20"/>
          <w:szCs w:val="20"/>
          <w:lang w:eastAsia="zh-CN"/>
        </w:rPr>
        <w:t xml:space="preserve">  </w:t>
      </w:r>
      <w:r>
        <w:rPr>
          <w:rFonts w:eastAsia="SimSun"/>
          <w:sz w:val="20"/>
          <w:szCs w:val="20"/>
          <w:lang w:eastAsia="zh-CN"/>
        </w:rPr>
        <w:t xml:space="preserve"> </w:t>
      </w:r>
    </w:p>
    <w:p w14:paraId="0D80F814" w14:textId="506854D5" w:rsidR="001F6664" w:rsidRDefault="008236E5" w:rsidP="00965E08">
      <w:pPr>
        <w:spacing w:before="120" w:after="180"/>
        <w:jc w:val="both"/>
        <w:rPr>
          <w:rFonts w:eastAsia="SimSun"/>
          <w:sz w:val="20"/>
          <w:lang w:eastAsia="zh-CN"/>
        </w:rPr>
      </w:pPr>
      <w:r>
        <w:rPr>
          <w:rFonts w:eastAsia="SimSun"/>
          <w:sz w:val="20"/>
          <w:lang w:eastAsia="zh-CN"/>
        </w:rPr>
        <w:t xml:space="preserve">Based on these premises it is concluded that the </w:t>
      </w:r>
      <w:r w:rsidR="00965E08">
        <w:rPr>
          <w:rFonts w:eastAsia="SimSun"/>
          <w:sz w:val="20"/>
          <w:lang w:eastAsia="zh-CN"/>
        </w:rPr>
        <w:t>existing techniques</w:t>
      </w:r>
      <w:r>
        <w:rPr>
          <w:rFonts w:eastAsia="SimSun"/>
          <w:sz w:val="20"/>
          <w:lang w:eastAsia="zh-CN"/>
        </w:rPr>
        <w:t xml:space="preserve"> in R15/R16 are sufficient to mitigate the risk of PDCCH blocking</w:t>
      </w:r>
      <w:r w:rsidR="00965E08">
        <w:rPr>
          <w:rFonts w:eastAsia="SimSun"/>
          <w:sz w:val="20"/>
          <w:lang w:eastAsia="zh-CN"/>
        </w:rPr>
        <w:t xml:space="preserve"> and further enhancements are not required </w:t>
      </w:r>
      <w:r w:rsidR="00692FAE">
        <w:rPr>
          <w:rFonts w:eastAsia="SimSun"/>
          <w:sz w:val="20"/>
          <w:lang w:eastAsia="zh-CN"/>
        </w:rPr>
        <w:t>for</w:t>
      </w:r>
      <w:r>
        <w:rPr>
          <w:rFonts w:eastAsia="SimSun"/>
          <w:sz w:val="20"/>
          <w:lang w:eastAsia="zh-CN"/>
        </w:rPr>
        <w:t xml:space="preserve"> devices with reduced number of Rx branches.</w:t>
      </w:r>
    </w:p>
    <w:tbl>
      <w:tblPr>
        <w:tblStyle w:val="TableGrid"/>
        <w:tblW w:w="0" w:type="auto"/>
        <w:tblLook w:val="04A0" w:firstRow="1" w:lastRow="0" w:firstColumn="1" w:lastColumn="0" w:noHBand="0" w:noVBand="1"/>
      </w:tblPr>
      <w:tblGrid>
        <w:gridCol w:w="6053"/>
        <w:gridCol w:w="928"/>
        <w:gridCol w:w="928"/>
        <w:gridCol w:w="861"/>
        <w:gridCol w:w="861"/>
      </w:tblGrid>
      <w:tr w:rsidR="001F6664" w:rsidRPr="001F6664" w14:paraId="43017106" w14:textId="77777777" w:rsidTr="001F6664">
        <w:tc>
          <w:tcPr>
            <w:tcW w:w="6232" w:type="dxa"/>
          </w:tcPr>
          <w:p w14:paraId="1BF04E5A" w14:textId="3590787D" w:rsidR="001F6664" w:rsidRPr="001F6664" w:rsidRDefault="001F6664" w:rsidP="001F6664">
            <w:pPr>
              <w:spacing w:before="40" w:after="40"/>
              <w:jc w:val="both"/>
              <w:rPr>
                <w:rFonts w:eastAsia="SimSun"/>
                <w:sz w:val="20"/>
                <w:szCs w:val="20"/>
                <w:lang w:eastAsia="zh-CN"/>
              </w:rPr>
            </w:pPr>
            <w:r>
              <w:rPr>
                <w:rFonts w:eastAsia="SimSun"/>
                <w:sz w:val="20"/>
                <w:szCs w:val="20"/>
                <w:lang w:eastAsia="zh-CN"/>
              </w:rPr>
              <w:t>Use cases</w:t>
            </w:r>
          </w:p>
        </w:tc>
        <w:tc>
          <w:tcPr>
            <w:tcW w:w="851" w:type="dxa"/>
          </w:tcPr>
          <w:p w14:paraId="355B31C2" w14:textId="3D04C0B9" w:rsidR="001F6664" w:rsidRPr="001F6664" w:rsidRDefault="001F6664" w:rsidP="001F6664">
            <w:pPr>
              <w:spacing w:before="40" w:after="40"/>
              <w:jc w:val="center"/>
              <w:rPr>
                <w:rFonts w:eastAsia="SimSun"/>
                <w:b/>
                <w:sz w:val="20"/>
                <w:szCs w:val="20"/>
                <w:lang w:eastAsia="zh-CN"/>
              </w:rPr>
            </w:pPr>
            <w:r w:rsidRPr="001F6664">
              <w:rPr>
                <w:rFonts w:eastAsia="SimSun"/>
                <w:b/>
                <w:sz w:val="20"/>
                <w:szCs w:val="20"/>
                <w:lang w:eastAsia="zh-CN"/>
              </w:rPr>
              <w:t>PDCCH</w:t>
            </w:r>
            <w:r w:rsidRPr="001F6664">
              <w:rPr>
                <w:rFonts w:eastAsia="SimSun"/>
                <w:b/>
                <w:sz w:val="20"/>
                <w:szCs w:val="20"/>
                <w:lang w:eastAsia="zh-CN"/>
              </w:rPr>
              <w:br/>
              <w:t>CSS</w:t>
            </w:r>
          </w:p>
        </w:tc>
        <w:tc>
          <w:tcPr>
            <w:tcW w:w="850" w:type="dxa"/>
          </w:tcPr>
          <w:p w14:paraId="6CFA88A4" w14:textId="4473D4EE" w:rsidR="001F6664" w:rsidRPr="001F6664" w:rsidRDefault="001F6664" w:rsidP="001F6664">
            <w:pPr>
              <w:spacing w:before="40" w:after="40"/>
              <w:jc w:val="center"/>
              <w:rPr>
                <w:rFonts w:eastAsia="SimSun"/>
                <w:b/>
                <w:sz w:val="20"/>
                <w:szCs w:val="20"/>
                <w:lang w:eastAsia="zh-CN"/>
              </w:rPr>
            </w:pPr>
            <w:r w:rsidRPr="001F6664">
              <w:rPr>
                <w:rFonts w:eastAsia="SimSun"/>
                <w:b/>
                <w:sz w:val="20"/>
                <w:szCs w:val="20"/>
                <w:lang w:eastAsia="zh-CN"/>
              </w:rPr>
              <w:t>PDCCH</w:t>
            </w:r>
            <w:r w:rsidRPr="001F6664">
              <w:rPr>
                <w:rFonts w:eastAsia="SimSun"/>
                <w:b/>
                <w:sz w:val="20"/>
                <w:szCs w:val="20"/>
                <w:lang w:eastAsia="zh-CN"/>
              </w:rPr>
              <w:br/>
              <w:t>USS</w:t>
            </w:r>
          </w:p>
        </w:tc>
        <w:tc>
          <w:tcPr>
            <w:tcW w:w="851" w:type="dxa"/>
          </w:tcPr>
          <w:p w14:paraId="6258F363" w14:textId="2ABC8827" w:rsidR="001F6664" w:rsidRPr="001F6664" w:rsidRDefault="001F6664" w:rsidP="001F6664">
            <w:pPr>
              <w:spacing w:before="40" w:after="40"/>
              <w:jc w:val="center"/>
              <w:rPr>
                <w:rFonts w:eastAsia="SimSun"/>
                <w:sz w:val="20"/>
                <w:szCs w:val="20"/>
                <w:lang w:eastAsia="zh-CN"/>
              </w:rPr>
            </w:pPr>
            <w:r>
              <w:rPr>
                <w:rFonts w:eastAsia="SimSun"/>
                <w:sz w:val="20"/>
                <w:szCs w:val="20"/>
                <w:lang w:eastAsia="zh-CN"/>
              </w:rPr>
              <w:t>PDSCH</w:t>
            </w:r>
          </w:p>
        </w:tc>
        <w:tc>
          <w:tcPr>
            <w:tcW w:w="847" w:type="dxa"/>
          </w:tcPr>
          <w:p w14:paraId="097E07E4" w14:textId="1DC003E8" w:rsidR="001F6664" w:rsidRPr="001F6664" w:rsidRDefault="001F6664" w:rsidP="001F6664">
            <w:pPr>
              <w:spacing w:before="40" w:after="40"/>
              <w:jc w:val="center"/>
              <w:rPr>
                <w:rFonts w:eastAsia="SimSun"/>
                <w:sz w:val="20"/>
                <w:szCs w:val="20"/>
                <w:lang w:eastAsia="zh-CN"/>
              </w:rPr>
            </w:pPr>
            <w:r>
              <w:rPr>
                <w:rFonts w:eastAsia="SimSun"/>
                <w:sz w:val="20"/>
                <w:szCs w:val="20"/>
                <w:lang w:eastAsia="zh-CN"/>
              </w:rPr>
              <w:t>PUSCH</w:t>
            </w:r>
          </w:p>
        </w:tc>
      </w:tr>
      <w:tr w:rsidR="001F6664" w:rsidRPr="001F6664" w14:paraId="03CD6D30" w14:textId="77777777" w:rsidTr="001F6664">
        <w:tc>
          <w:tcPr>
            <w:tcW w:w="6232" w:type="dxa"/>
          </w:tcPr>
          <w:p w14:paraId="6B0D945E" w14:textId="370DBFF0"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2Rx RedCap UE in Urban scenario at 2.6 GHz</w:t>
            </w:r>
          </w:p>
        </w:tc>
        <w:tc>
          <w:tcPr>
            <w:tcW w:w="851" w:type="dxa"/>
          </w:tcPr>
          <w:p w14:paraId="2A64900D" w14:textId="54D82E1F"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15.4</w:t>
            </w:r>
          </w:p>
        </w:tc>
        <w:tc>
          <w:tcPr>
            <w:tcW w:w="850" w:type="dxa"/>
          </w:tcPr>
          <w:p w14:paraId="0301C3CD" w14:textId="046E4B49"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19.2</w:t>
            </w:r>
          </w:p>
        </w:tc>
        <w:tc>
          <w:tcPr>
            <w:tcW w:w="851" w:type="dxa"/>
          </w:tcPr>
          <w:p w14:paraId="75C14771" w14:textId="4F60DFEC"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16.5</w:t>
            </w:r>
          </w:p>
        </w:tc>
        <w:tc>
          <w:tcPr>
            <w:tcW w:w="847" w:type="dxa"/>
          </w:tcPr>
          <w:p w14:paraId="12DEAE32" w14:textId="4E4B9261"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-3.0</w:t>
            </w:r>
          </w:p>
        </w:tc>
      </w:tr>
      <w:tr w:rsidR="001F6664" w:rsidRPr="001F6664" w14:paraId="1A8EF69A" w14:textId="77777777" w:rsidTr="001F6664">
        <w:tc>
          <w:tcPr>
            <w:tcW w:w="6232" w:type="dxa"/>
          </w:tcPr>
          <w:p w14:paraId="32AA72E8" w14:textId="4FE59EE6"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1Rx RedCap UE in Urban scenario at 2.6 GHz</w:t>
            </w:r>
          </w:p>
        </w:tc>
        <w:tc>
          <w:tcPr>
            <w:tcW w:w="851" w:type="dxa"/>
          </w:tcPr>
          <w:p w14:paraId="5006FC0E" w14:textId="19458146"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11.4</w:t>
            </w:r>
          </w:p>
        </w:tc>
        <w:tc>
          <w:tcPr>
            <w:tcW w:w="850" w:type="dxa"/>
          </w:tcPr>
          <w:p w14:paraId="370093C2" w14:textId="1A7D2B6E"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15.7</w:t>
            </w:r>
          </w:p>
        </w:tc>
        <w:tc>
          <w:tcPr>
            <w:tcW w:w="851" w:type="dxa"/>
          </w:tcPr>
          <w:p w14:paraId="2C3137D2" w14:textId="4EF7DC00"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13.1</w:t>
            </w:r>
          </w:p>
        </w:tc>
        <w:tc>
          <w:tcPr>
            <w:tcW w:w="847" w:type="dxa"/>
          </w:tcPr>
          <w:p w14:paraId="77372B8F" w14:textId="77273105"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-3.0</w:t>
            </w:r>
          </w:p>
        </w:tc>
      </w:tr>
      <w:tr w:rsidR="001F6664" w:rsidRPr="001F6664" w14:paraId="49701301" w14:textId="77777777" w:rsidTr="001F6664">
        <w:tc>
          <w:tcPr>
            <w:tcW w:w="6232" w:type="dxa"/>
          </w:tcPr>
          <w:p w14:paraId="47BD38DB" w14:textId="664A6A87"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2Rx RedCap UE in rural scenario at 0.7 GHz</w:t>
            </w:r>
          </w:p>
        </w:tc>
        <w:tc>
          <w:tcPr>
            <w:tcW w:w="851" w:type="dxa"/>
          </w:tcPr>
          <w:p w14:paraId="413B07AB" w14:textId="0C3C7819"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10.6</w:t>
            </w:r>
          </w:p>
        </w:tc>
        <w:tc>
          <w:tcPr>
            <w:tcW w:w="850" w:type="dxa"/>
          </w:tcPr>
          <w:p w14:paraId="10A20A5C" w14:textId="06D80D43"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10.8</w:t>
            </w:r>
          </w:p>
        </w:tc>
        <w:tc>
          <w:tcPr>
            <w:tcW w:w="851" w:type="dxa"/>
          </w:tcPr>
          <w:p w14:paraId="337419BB" w14:textId="298173F6"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7.5</w:t>
            </w:r>
          </w:p>
        </w:tc>
        <w:tc>
          <w:tcPr>
            <w:tcW w:w="847" w:type="dxa"/>
          </w:tcPr>
          <w:p w14:paraId="080BD827" w14:textId="75BF7751"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-2.8</w:t>
            </w:r>
          </w:p>
        </w:tc>
      </w:tr>
      <w:tr w:rsidR="001F6664" w:rsidRPr="001F6664" w14:paraId="0CACDF80" w14:textId="77777777" w:rsidTr="001F6664">
        <w:tc>
          <w:tcPr>
            <w:tcW w:w="6232" w:type="dxa"/>
          </w:tcPr>
          <w:p w14:paraId="3FEF5D52" w14:textId="4A9447F2"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1Rx RedCap UE in rural scenario at 0.7 GHz</w:t>
            </w:r>
          </w:p>
        </w:tc>
        <w:tc>
          <w:tcPr>
            <w:tcW w:w="851" w:type="dxa"/>
          </w:tcPr>
          <w:p w14:paraId="5CDBDD1E" w14:textId="763E4919"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7.1</w:t>
            </w:r>
          </w:p>
        </w:tc>
        <w:tc>
          <w:tcPr>
            <w:tcW w:w="850" w:type="dxa"/>
          </w:tcPr>
          <w:p w14:paraId="79BEA8ED" w14:textId="4E874B54"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7.5</w:t>
            </w:r>
          </w:p>
        </w:tc>
        <w:tc>
          <w:tcPr>
            <w:tcW w:w="851" w:type="dxa"/>
          </w:tcPr>
          <w:p w14:paraId="226394EB" w14:textId="3761AA1C"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4.4</w:t>
            </w:r>
          </w:p>
        </w:tc>
        <w:tc>
          <w:tcPr>
            <w:tcW w:w="847" w:type="dxa"/>
          </w:tcPr>
          <w:p w14:paraId="6154C8EC" w14:textId="4D515723"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-2.8</w:t>
            </w:r>
          </w:p>
        </w:tc>
      </w:tr>
      <w:tr w:rsidR="001F6664" w:rsidRPr="001F6664" w14:paraId="5166002B" w14:textId="77777777" w:rsidTr="001F6664">
        <w:tc>
          <w:tcPr>
            <w:tcW w:w="6232" w:type="dxa"/>
          </w:tcPr>
          <w:p w14:paraId="552234EC" w14:textId="3AFE12D5"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2Rx RedCap UE in Urban 4 GHz with 33 dBm/MHz PSD</w:t>
            </w:r>
          </w:p>
        </w:tc>
        <w:tc>
          <w:tcPr>
            <w:tcW w:w="851" w:type="dxa"/>
          </w:tcPr>
          <w:p w14:paraId="1C55350D" w14:textId="29A0D15E"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18.0</w:t>
            </w:r>
          </w:p>
        </w:tc>
        <w:tc>
          <w:tcPr>
            <w:tcW w:w="850" w:type="dxa"/>
          </w:tcPr>
          <w:p w14:paraId="0BE0FC1B" w14:textId="198CBC52"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21.9</w:t>
            </w:r>
          </w:p>
        </w:tc>
        <w:tc>
          <w:tcPr>
            <w:tcW w:w="851" w:type="dxa"/>
          </w:tcPr>
          <w:p w14:paraId="51345D1E" w14:textId="47215FF8"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16.4</w:t>
            </w:r>
          </w:p>
        </w:tc>
        <w:tc>
          <w:tcPr>
            <w:tcW w:w="847" w:type="dxa"/>
          </w:tcPr>
          <w:p w14:paraId="60E52269" w14:textId="45219C23"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-3.0</w:t>
            </w:r>
          </w:p>
        </w:tc>
      </w:tr>
      <w:tr w:rsidR="001F6664" w:rsidRPr="001F6664" w14:paraId="1BC4EA49" w14:textId="77777777" w:rsidTr="001F6664">
        <w:tc>
          <w:tcPr>
            <w:tcW w:w="6232" w:type="dxa"/>
          </w:tcPr>
          <w:p w14:paraId="20E9EBEE" w14:textId="194C51DF"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1Rx RedCap UE in Urban 4 GHz with 33 dBm/MHz PSD</w:t>
            </w:r>
          </w:p>
        </w:tc>
        <w:tc>
          <w:tcPr>
            <w:tcW w:w="851" w:type="dxa"/>
          </w:tcPr>
          <w:p w14:paraId="490CC601" w14:textId="1446E765"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14.5</w:t>
            </w:r>
          </w:p>
        </w:tc>
        <w:tc>
          <w:tcPr>
            <w:tcW w:w="850" w:type="dxa"/>
          </w:tcPr>
          <w:p w14:paraId="0A14E537" w14:textId="7F27BBFE" w:rsidR="001F6664" w:rsidRPr="001F6664" w:rsidRDefault="001F6664" w:rsidP="001F6664">
            <w:pPr>
              <w:spacing w:before="40" w:after="40"/>
              <w:jc w:val="center"/>
              <w:rPr>
                <w:rFonts w:eastAsia="SimSun"/>
                <w:b/>
                <w:sz w:val="20"/>
                <w:szCs w:val="20"/>
                <w:lang w:eastAsia="zh-CN"/>
              </w:rPr>
            </w:pPr>
            <w:r w:rsidRPr="001F6664">
              <w:rPr>
                <w:b/>
                <w:bCs/>
                <w:color w:val="000000"/>
                <w:sz w:val="20"/>
                <w:szCs w:val="16"/>
              </w:rPr>
              <w:t>18.1</w:t>
            </w:r>
          </w:p>
        </w:tc>
        <w:tc>
          <w:tcPr>
            <w:tcW w:w="851" w:type="dxa"/>
          </w:tcPr>
          <w:p w14:paraId="5EAA2214" w14:textId="32640938" w:rsidR="001F6664" w:rsidRPr="001F6664" w:rsidRDefault="001F6664" w:rsidP="001F6664">
            <w:pPr>
              <w:spacing w:before="40" w:after="40"/>
              <w:jc w:val="center"/>
              <w:rPr>
                <w:rFonts w:eastAsia="SimSun"/>
                <w:sz w:val="20"/>
                <w:szCs w:val="20"/>
                <w:lang w:eastAsia="zh-CN"/>
              </w:rPr>
            </w:pPr>
            <w:r w:rsidRPr="001F6664">
              <w:rPr>
                <w:bCs/>
                <w:color w:val="000000"/>
                <w:sz w:val="20"/>
                <w:szCs w:val="16"/>
              </w:rPr>
              <w:t>12.2</w:t>
            </w:r>
          </w:p>
        </w:tc>
        <w:tc>
          <w:tcPr>
            <w:tcW w:w="847" w:type="dxa"/>
          </w:tcPr>
          <w:p w14:paraId="3FEA54D3" w14:textId="356FB75E" w:rsidR="001F6664" w:rsidRPr="001F6664" w:rsidRDefault="001F6664" w:rsidP="001F6664">
            <w:pPr>
              <w:spacing w:before="40" w:after="40"/>
              <w:jc w:val="center"/>
              <w:rPr>
                <w:rFonts w:eastAsia="SimSun"/>
                <w:sz w:val="20"/>
                <w:szCs w:val="20"/>
                <w:lang w:eastAsia="zh-CN"/>
              </w:rPr>
            </w:pPr>
            <w:r w:rsidRPr="001F6664">
              <w:rPr>
                <w:bCs/>
                <w:color w:val="9C0006"/>
                <w:sz w:val="20"/>
                <w:szCs w:val="16"/>
              </w:rPr>
              <w:t>-3.0</w:t>
            </w:r>
          </w:p>
        </w:tc>
      </w:tr>
      <w:tr w:rsidR="001F6664" w:rsidRPr="001F6664" w14:paraId="4ADE9524" w14:textId="77777777" w:rsidTr="001F6664">
        <w:tc>
          <w:tcPr>
            <w:tcW w:w="6232" w:type="dxa"/>
          </w:tcPr>
          <w:p w14:paraId="127BF239" w14:textId="5D0F6AC8" w:rsidR="001F6664" w:rsidRPr="001F6664" w:rsidRDefault="001F6664" w:rsidP="001F6664">
            <w:pPr>
              <w:spacing w:before="40" w:after="40"/>
              <w:jc w:val="both"/>
              <w:rPr>
                <w:rFonts w:eastAsia="SimSun"/>
                <w:sz w:val="20"/>
                <w:szCs w:val="20"/>
                <w:lang w:eastAsia="zh-CN"/>
              </w:rPr>
            </w:pPr>
            <w:r w:rsidRPr="001F6664">
              <w:rPr>
                <w:rFonts w:eastAsia="SimSun"/>
                <w:sz w:val="20"/>
                <w:szCs w:val="20"/>
                <w:lang w:eastAsia="zh-CN"/>
              </w:rPr>
              <w:t>2Rx RedCap UE in Urban 4 GHz with 24 dBm/MHz PSD</w:t>
            </w:r>
          </w:p>
        </w:tc>
        <w:tc>
          <w:tcPr>
            <w:tcW w:w="851" w:type="dxa"/>
          </w:tcPr>
          <w:p w14:paraId="38083871" w14:textId="21C0A8BC" w:rsidR="001F6664" w:rsidRPr="001F6664" w:rsidRDefault="001F6664" w:rsidP="001F6664">
            <w:pPr>
              <w:spacing w:before="40" w:after="40"/>
              <w:jc w:val="center"/>
              <w:rPr>
                <w:b/>
                <w:bCs/>
                <w:color w:val="000000"/>
                <w:sz w:val="20"/>
                <w:szCs w:val="16"/>
              </w:rPr>
            </w:pPr>
            <w:r w:rsidRPr="001F6664">
              <w:rPr>
                <w:b/>
                <w:bCs/>
                <w:color w:val="000000"/>
                <w:sz w:val="20"/>
                <w:szCs w:val="16"/>
              </w:rPr>
              <w:t>4.0</w:t>
            </w:r>
          </w:p>
        </w:tc>
        <w:tc>
          <w:tcPr>
            <w:tcW w:w="850" w:type="dxa"/>
          </w:tcPr>
          <w:p w14:paraId="2E6A28AF" w14:textId="77160272" w:rsidR="001F6664" w:rsidRPr="001F6664" w:rsidRDefault="001F6664" w:rsidP="001F6664">
            <w:pPr>
              <w:spacing w:before="40" w:after="40"/>
              <w:jc w:val="center"/>
              <w:rPr>
                <w:b/>
                <w:bCs/>
                <w:color w:val="000000"/>
                <w:sz w:val="20"/>
                <w:szCs w:val="16"/>
              </w:rPr>
            </w:pPr>
            <w:r w:rsidRPr="001F6664">
              <w:rPr>
                <w:b/>
                <w:bCs/>
                <w:color w:val="000000"/>
                <w:sz w:val="20"/>
                <w:szCs w:val="16"/>
              </w:rPr>
              <w:t>7.6</w:t>
            </w:r>
          </w:p>
        </w:tc>
        <w:tc>
          <w:tcPr>
            <w:tcW w:w="851" w:type="dxa"/>
          </w:tcPr>
          <w:p w14:paraId="39A78F0D" w14:textId="2268BA90" w:rsidR="001F6664" w:rsidRPr="001F6664" w:rsidRDefault="001F6664" w:rsidP="001F6664">
            <w:pPr>
              <w:spacing w:before="40" w:after="40"/>
              <w:jc w:val="center"/>
              <w:rPr>
                <w:bCs/>
                <w:color w:val="000000"/>
                <w:sz w:val="20"/>
                <w:szCs w:val="16"/>
              </w:rPr>
            </w:pPr>
            <w:r w:rsidRPr="001F6664">
              <w:rPr>
                <w:bCs/>
                <w:color w:val="000000"/>
                <w:sz w:val="20"/>
                <w:szCs w:val="16"/>
              </w:rPr>
              <w:t>4.7</w:t>
            </w:r>
          </w:p>
        </w:tc>
        <w:tc>
          <w:tcPr>
            <w:tcW w:w="847" w:type="dxa"/>
          </w:tcPr>
          <w:p w14:paraId="6C27B884" w14:textId="341506EA" w:rsidR="001F6664" w:rsidRPr="001F6664" w:rsidRDefault="001F6664" w:rsidP="001F6664">
            <w:pPr>
              <w:spacing w:before="40" w:after="40"/>
              <w:jc w:val="center"/>
              <w:rPr>
                <w:bCs/>
                <w:color w:val="9C0006"/>
                <w:sz w:val="20"/>
                <w:szCs w:val="16"/>
              </w:rPr>
            </w:pPr>
            <w:r w:rsidRPr="001F6664">
              <w:rPr>
                <w:bCs/>
                <w:color w:val="9C0006"/>
                <w:sz w:val="20"/>
                <w:szCs w:val="16"/>
              </w:rPr>
              <w:t>-3.0</w:t>
            </w:r>
          </w:p>
        </w:tc>
      </w:tr>
      <w:tr w:rsidR="001F6664" w:rsidRPr="001F6664" w14:paraId="312DAC6B" w14:textId="77777777" w:rsidTr="001F6664">
        <w:tc>
          <w:tcPr>
            <w:tcW w:w="6232" w:type="dxa"/>
          </w:tcPr>
          <w:p w14:paraId="33D53F57" w14:textId="002CBE95" w:rsidR="001F6664" w:rsidRPr="001F6664" w:rsidRDefault="001F6664" w:rsidP="001F6664">
            <w:pPr>
              <w:spacing w:before="40" w:after="40"/>
              <w:jc w:val="both"/>
              <w:rPr>
                <w:rFonts w:eastAsia="SimSun"/>
                <w:sz w:val="20"/>
                <w:szCs w:val="20"/>
                <w:lang w:eastAsia="zh-CN"/>
              </w:rPr>
            </w:pPr>
            <w:r>
              <w:rPr>
                <w:rFonts w:eastAsia="SimSun"/>
                <w:sz w:val="20"/>
                <w:szCs w:val="20"/>
                <w:lang w:eastAsia="zh-CN"/>
              </w:rPr>
              <w:t>1</w:t>
            </w:r>
            <w:r w:rsidRPr="001F6664">
              <w:rPr>
                <w:rFonts w:eastAsia="SimSun"/>
                <w:sz w:val="20"/>
                <w:szCs w:val="20"/>
                <w:lang w:eastAsia="zh-CN"/>
              </w:rPr>
              <w:t>Rx RedCap UE in Urban 4 GHz with 24 dBm/MHz PSD</w:t>
            </w:r>
          </w:p>
        </w:tc>
        <w:tc>
          <w:tcPr>
            <w:tcW w:w="851" w:type="dxa"/>
          </w:tcPr>
          <w:p w14:paraId="16EBAD32" w14:textId="0E56CE2A" w:rsidR="001F6664" w:rsidRPr="001F6664" w:rsidRDefault="001F6664" w:rsidP="001F6664">
            <w:pPr>
              <w:spacing w:before="40" w:after="40"/>
              <w:jc w:val="center"/>
              <w:rPr>
                <w:b/>
                <w:bCs/>
                <w:color w:val="000000"/>
                <w:sz w:val="20"/>
                <w:szCs w:val="16"/>
              </w:rPr>
            </w:pPr>
            <w:r w:rsidRPr="001F6664">
              <w:rPr>
                <w:b/>
                <w:bCs/>
                <w:color w:val="9C0006"/>
                <w:sz w:val="20"/>
                <w:szCs w:val="16"/>
              </w:rPr>
              <w:t>-0.8</w:t>
            </w:r>
          </w:p>
        </w:tc>
        <w:tc>
          <w:tcPr>
            <w:tcW w:w="850" w:type="dxa"/>
          </w:tcPr>
          <w:p w14:paraId="6A6020AB" w14:textId="332FE79E" w:rsidR="001F6664" w:rsidRPr="001F6664" w:rsidRDefault="001F6664" w:rsidP="001F6664">
            <w:pPr>
              <w:spacing w:before="40" w:after="40"/>
              <w:jc w:val="center"/>
              <w:rPr>
                <w:b/>
                <w:bCs/>
                <w:color w:val="000000"/>
                <w:sz w:val="20"/>
                <w:szCs w:val="16"/>
              </w:rPr>
            </w:pPr>
            <w:r w:rsidRPr="001F6664">
              <w:rPr>
                <w:b/>
                <w:bCs/>
                <w:color w:val="000000"/>
                <w:sz w:val="20"/>
                <w:szCs w:val="16"/>
              </w:rPr>
              <w:t>4.3</w:t>
            </w:r>
          </w:p>
        </w:tc>
        <w:tc>
          <w:tcPr>
            <w:tcW w:w="851" w:type="dxa"/>
          </w:tcPr>
          <w:p w14:paraId="04D2213B" w14:textId="4FD56161" w:rsidR="001F6664" w:rsidRPr="001F6664" w:rsidRDefault="001F6664" w:rsidP="001F6664">
            <w:pPr>
              <w:spacing w:before="40" w:after="40"/>
              <w:jc w:val="center"/>
              <w:rPr>
                <w:bCs/>
                <w:color w:val="000000"/>
                <w:sz w:val="20"/>
                <w:szCs w:val="16"/>
              </w:rPr>
            </w:pPr>
            <w:r w:rsidRPr="001F6664">
              <w:rPr>
                <w:bCs/>
                <w:color w:val="000000"/>
                <w:sz w:val="20"/>
                <w:szCs w:val="16"/>
              </w:rPr>
              <w:t>1.0</w:t>
            </w:r>
          </w:p>
        </w:tc>
        <w:tc>
          <w:tcPr>
            <w:tcW w:w="847" w:type="dxa"/>
          </w:tcPr>
          <w:p w14:paraId="0C51977F" w14:textId="14152C30" w:rsidR="001F6664" w:rsidRPr="001F6664" w:rsidRDefault="001F6664" w:rsidP="001F6664">
            <w:pPr>
              <w:spacing w:before="40" w:after="40"/>
              <w:jc w:val="center"/>
              <w:rPr>
                <w:bCs/>
                <w:color w:val="9C0006"/>
                <w:sz w:val="20"/>
                <w:szCs w:val="16"/>
              </w:rPr>
            </w:pPr>
            <w:r w:rsidRPr="001F6664">
              <w:rPr>
                <w:bCs/>
                <w:color w:val="9C0006"/>
                <w:sz w:val="20"/>
                <w:szCs w:val="16"/>
              </w:rPr>
              <w:t>-2.9</w:t>
            </w:r>
          </w:p>
        </w:tc>
      </w:tr>
      <w:tr w:rsidR="001F6664" w:rsidRPr="001F6664" w14:paraId="6FBE97B0" w14:textId="77777777" w:rsidTr="001F6664">
        <w:tc>
          <w:tcPr>
            <w:tcW w:w="6232" w:type="dxa"/>
          </w:tcPr>
          <w:p w14:paraId="2CF0DD87" w14:textId="6E2C7C7F" w:rsidR="001F6664" w:rsidRDefault="001F6664" w:rsidP="001F6664">
            <w:pPr>
              <w:spacing w:before="40" w:after="40"/>
              <w:jc w:val="both"/>
              <w:rPr>
                <w:rFonts w:eastAsia="SimSun"/>
                <w:sz w:val="20"/>
                <w:szCs w:val="20"/>
                <w:lang w:eastAsia="zh-CN"/>
              </w:rPr>
            </w:pPr>
            <w:r w:rsidRPr="001F6664">
              <w:rPr>
                <w:rFonts w:eastAsia="SimSun"/>
                <w:sz w:val="20"/>
                <w:szCs w:val="20"/>
                <w:lang w:eastAsia="zh-CN"/>
              </w:rPr>
              <w:t>RedCap UE (1Rx, 100MHz BW) in indoor scenario at 28 GHz</w:t>
            </w:r>
          </w:p>
        </w:tc>
        <w:tc>
          <w:tcPr>
            <w:tcW w:w="851" w:type="dxa"/>
          </w:tcPr>
          <w:p w14:paraId="2F6F4395" w14:textId="7DAD3EAE" w:rsidR="001F6664" w:rsidRPr="001F6664" w:rsidRDefault="001F6664" w:rsidP="001F6664">
            <w:pPr>
              <w:spacing w:before="40" w:after="40"/>
              <w:jc w:val="center"/>
              <w:rPr>
                <w:b/>
                <w:bCs/>
                <w:color w:val="9C0006"/>
                <w:sz w:val="20"/>
                <w:szCs w:val="16"/>
              </w:rPr>
            </w:pPr>
            <w:r w:rsidRPr="001F6664">
              <w:rPr>
                <w:b/>
                <w:bCs/>
                <w:color w:val="000000"/>
                <w:sz w:val="20"/>
                <w:szCs w:val="16"/>
              </w:rPr>
              <w:t>8.2</w:t>
            </w:r>
          </w:p>
        </w:tc>
        <w:tc>
          <w:tcPr>
            <w:tcW w:w="850" w:type="dxa"/>
          </w:tcPr>
          <w:p w14:paraId="5A80862A" w14:textId="7A4A8807" w:rsidR="001F6664" w:rsidRPr="001F6664" w:rsidRDefault="001F6664" w:rsidP="001F6664">
            <w:pPr>
              <w:spacing w:before="40" w:after="40"/>
              <w:jc w:val="center"/>
              <w:rPr>
                <w:b/>
                <w:bCs/>
                <w:color w:val="000000"/>
                <w:sz w:val="20"/>
                <w:szCs w:val="16"/>
              </w:rPr>
            </w:pPr>
            <w:r w:rsidRPr="001F6664">
              <w:rPr>
                <w:b/>
                <w:bCs/>
                <w:color w:val="000000"/>
                <w:sz w:val="20"/>
                <w:szCs w:val="16"/>
              </w:rPr>
              <w:t>9.1</w:t>
            </w:r>
          </w:p>
        </w:tc>
        <w:tc>
          <w:tcPr>
            <w:tcW w:w="851" w:type="dxa"/>
          </w:tcPr>
          <w:p w14:paraId="0FA7EDB3" w14:textId="18516743" w:rsidR="001F6664" w:rsidRPr="001F6664" w:rsidRDefault="001F6664" w:rsidP="001F6664">
            <w:pPr>
              <w:spacing w:before="40" w:after="40"/>
              <w:jc w:val="center"/>
              <w:rPr>
                <w:bCs/>
                <w:color w:val="000000"/>
                <w:sz w:val="20"/>
                <w:szCs w:val="16"/>
              </w:rPr>
            </w:pPr>
            <w:r w:rsidRPr="001F6664">
              <w:rPr>
                <w:bCs/>
                <w:color w:val="000000"/>
                <w:sz w:val="20"/>
                <w:szCs w:val="16"/>
              </w:rPr>
              <w:t>3.5</w:t>
            </w:r>
          </w:p>
        </w:tc>
        <w:tc>
          <w:tcPr>
            <w:tcW w:w="847" w:type="dxa"/>
          </w:tcPr>
          <w:p w14:paraId="3856A9D8" w14:textId="5CFBA563" w:rsidR="001F6664" w:rsidRPr="001F6664" w:rsidRDefault="001F6664" w:rsidP="001F6664">
            <w:pPr>
              <w:spacing w:before="40" w:after="40"/>
              <w:jc w:val="center"/>
              <w:rPr>
                <w:bCs/>
                <w:color w:val="9C0006"/>
                <w:sz w:val="20"/>
                <w:szCs w:val="16"/>
              </w:rPr>
            </w:pPr>
            <w:r w:rsidRPr="001F6664">
              <w:rPr>
                <w:bCs/>
                <w:color w:val="000000"/>
                <w:sz w:val="20"/>
                <w:szCs w:val="16"/>
              </w:rPr>
              <w:t>0.0</w:t>
            </w:r>
          </w:p>
        </w:tc>
      </w:tr>
    </w:tbl>
    <w:p w14:paraId="27B9C546" w14:textId="2866787F" w:rsidR="001F6664" w:rsidRDefault="001F6664" w:rsidP="001F6664">
      <w:pPr>
        <w:spacing w:before="180" w:after="180"/>
        <w:jc w:val="center"/>
        <w:rPr>
          <w:rFonts w:eastAsia="SimSun"/>
          <w:sz w:val="20"/>
          <w:lang w:eastAsia="zh-CN"/>
        </w:rPr>
      </w:pPr>
      <w:r>
        <w:rPr>
          <w:rFonts w:eastAsia="SimSun"/>
          <w:sz w:val="20"/>
          <w:lang w:eastAsia="zh-CN"/>
        </w:rPr>
        <w:t>Table 1. Representative values of coverage margin/loss per physical channels.</w:t>
      </w:r>
      <w:r>
        <w:rPr>
          <w:rFonts w:eastAsia="SimSun"/>
          <w:sz w:val="20"/>
          <w:lang w:eastAsia="zh-CN"/>
        </w:rPr>
        <w:fldChar w:fldCharType="begin"/>
      </w:r>
      <w:r>
        <w:rPr>
          <w:rFonts w:eastAsia="SimSun"/>
          <w:sz w:val="20"/>
          <w:lang w:eastAsia="zh-CN"/>
        </w:rPr>
        <w:instrText xml:space="preserve"> REF _Ref68560161 \n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t xml:space="preserve"> </w:t>
      </w:r>
    </w:p>
    <w:p w14:paraId="462A549F" w14:textId="4B9CC37A" w:rsidR="001F6664" w:rsidRDefault="00006904" w:rsidP="00431A28">
      <w:pPr>
        <w:spacing w:before="120" w:after="120"/>
        <w:jc w:val="both"/>
        <w:rPr>
          <w:rFonts w:eastAsia="SimSun"/>
          <w:b/>
          <w:i/>
          <w:sz w:val="20"/>
          <w:lang w:eastAsia="zh-CN"/>
        </w:rPr>
      </w:pPr>
      <w:r w:rsidRPr="00006904">
        <w:rPr>
          <w:rFonts w:eastAsia="SimSun"/>
          <w:b/>
          <w:i/>
          <w:sz w:val="20"/>
          <w:lang w:eastAsia="zh-CN"/>
        </w:rPr>
        <w:t xml:space="preserve">Observation: </w:t>
      </w:r>
      <w:r w:rsidR="00B261FA">
        <w:rPr>
          <w:rFonts w:eastAsia="SimSun"/>
          <w:b/>
          <w:i/>
          <w:sz w:val="20"/>
          <w:lang w:eastAsia="zh-CN"/>
        </w:rPr>
        <w:t>The existing techniques in</w:t>
      </w:r>
      <w:r w:rsidRPr="00006904">
        <w:rPr>
          <w:rFonts w:eastAsia="SimSun"/>
          <w:b/>
          <w:i/>
          <w:sz w:val="20"/>
          <w:lang w:eastAsia="zh-CN"/>
        </w:rPr>
        <w:t xml:space="preserve"> R15/R16 are sufficient to mitigate </w:t>
      </w:r>
      <w:r w:rsidR="00B261FA">
        <w:rPr>
          <w:rFonts w:eastAsia="SimSun"/>
          <w:b/>
          <w:i/>
          <w:sz w:val="20"/>
          <w:lang w:eastAsia="zh-CN"/>
        </w:rPr>
        <w:t>t</w:t>
      </w:r>
      <w:r w:rsidRPr="00006904">
        <w:rPr>
          <w:rFonts w:eastAsia="SimSun"/>
          <w:b/>
          <w:i/>
          <w:sz w:val="20"/>
          <w:lang w:eastAsia="zh-CN"/>
        </w:rPr>
        <w:t>he risk of PDCCH blocking</w:t>
      </w:r>
      <w:r w:rsidR="00B261FA">
        <w:rPr>
          <w:rFonts w:eastAsia="SimSun"/>
          <w:b/>
          <w:i/>
          <w:sz w:val="20"/>
          <w:lang w:eastAsia="zh-CN"/>
        </w:rPr>
        <w:t>. D</w:t>
      </w:r>
      <w:r w:rsidRPr="00006904">
        <w:rPr>
          <w:rFonts w:eastAsia="SimSun"/>
          <w:b/>
          <w:i/>
          <w:sz w:val="20"/>
          <w:lang w:eastAsia="zh-CN"/>
        </w:rPr>
        <w:t>evices with reduced number of Rx branches</w:t>
      </w:r>
      <w:r w:rsidR="00B261FA">
        <w:rPr>
          <w:rFonts w:eastAsia="SimSun"/>
          <w:b/>
          <w:i/>
          <w:sz w:val="20"/>
          <w:lang w:eastAsia="zh-CN"/>
        </w:rPr>
        <w:t xml:space="preserve"> require no further enhancement</w:t>
      </w:r>
      <w:r w:rsidR="00965E08">
        <w:rPr>
          <w:rFonts w:eastAsia="SimSun"/>
          <w:b/>
          <w:i/>
          <w:sz w:val="20"/>
          <w:lang w:eastAsia="zh-CN"/>
        </w:rPr>
        <w:t xml:space="preserve"> to the </w:t>
      </w:r>
      <w:r w:rsidR="00FB4321">
        <w:rPr>
          <w:rFonts w:eastAsia="SimSun"/>
          <w:b/>
          <w:i/>
          <w:sz w:val="20"/>
          <w:lang w:eastAsia="zh-CN"/>
        </w:rPr>
        <w:t xml:space="preserve">available </w:t>
      </w:r>
      <w:r w:rsidR="00654BD6">
        <w:rPr>
          <w:rFonts w:eastAsia="SimSun"/>
          <w:b/>
          <w:i/>
          <w:sz w:val="20"/>
          <w:lang w:eastAsia="zh-CN"/>
        </w:rPr>
        <w:t>DCI</w:t>
      </w:r>
      <w:r w:rsidR="00965E08">
        <w:rPr>
          <w:rFonts w:eastAsia="SimSun"/>
          <w:b/>
          <w:i/>
          <w:sz w:val="20"/>
          <w:lang w:eastAsia="zh-CN"/>
        </w:rPr>
        <w:t xml:space="preserve"> format</w:t>
      </w:r>
      <w:r w:rsidR="00C8148F">
        <w:rPr>
          <w:rFonts w:eastAsia="SimSun"/>
          <w:b/>
          <w:i/>
          <w:sz w:val="20"/>
          <w:lang w:eastAsia="zh-CN"/>
        </w:rPr>
        <w:t>s</w:t>
      </w:r>
      <w:r w:rsidRPr="00006904">
        <w:rPr>
          <w:rFonts w:eastAsia="SimSun"/>
          <w:b/>
          <w:i/>
          <w:sz w:val="20"/>
          <w:lang w:eastAsia="zh-CN"/>
        </w:rPr>
        <w:t>.</w:t>
      </w:r>
    </w:p>
    <w:p w14:paraId="40C79045" w14:textId="435FF8D7" w:rsidR="00006904" w:rsidRPr="00006904" w:rsidRDefault="00006904" w:rsidP="00431A28">
      <w:pPr>
        <w:spacing w:before="120" w:after="120"/>
        <w:jc w:val="both"/>
        <w:rPr>
          <w:rFonts w:eastAsia="SimSun"/>
          <w:b/>
          <w:i/>
          <w:sz w:val="20"/>
          <w:lang w:eastAsia="zh-CN"/>
        </w:rPr>
      </w:pPr>
      <w:r>
        <w:rPr>
          <w:rFonts w:eastAsia="SimSun"/>
          <w:b/>
          <w:i/>
          <w:sz w:val="20"/>
          <w:lang w:eastAsia="zh-CN"/>
        </w:rPr>
        <w:t>Proposal</w:t>
      </w:r>
      <w:r w:rsidR="00D94259">
        <w:rPr>
          <w:rFonts w:eastAsia="SimSun"/>
          <w:b/>
          <w:i/>
          <w:sz w:val="20"/>
          <w:lang w:eastAsia="zh-CN"/>
        </w:rPr>
        <w:t xml:space="preserve"> 1</w:t>
      </w:r>
      <w:r>
        <w:rPr>
          <w:rFonts w:eastAsia="SimSun"/>
          <w:b/>
          <w:i/>
          <w:sz w:val="20"/>
          <w:lang w:eastAsia="zh-CN"/>
        </w:rPr>
        <w:t xml:space="preserve">: No need for further enhancements to </w:t>
      </w:r>
      <w:r w:rsidR="00654BD6">
        <w:rPr>
          <w:rFonts w:eastAsia="SimSun"/>
          <w:b/>
          <w:i/>
          <w:sz w:val="20"/>
          <w:lang w:eastAsia="zh-CN"/>
        </w:rPr>
        <w:t xml:space="preserve">DCI </w:t>
      </w:r>
      <w:r>
        <w:rPr>
          <w:rFonts w:eastAsia="SimSun"/>
          <w:b/>
          <w:i/>
          <w:sz w:val="20"/>
          <w:lang w:eastAsia="zh-CN"/>
        </w:rPr>
        <w:t xml:space="preserve"> formats.</w:t>
      </w:r>
    </w:p>
    <w:p w14:paraId="4ABB0C68" w14:textId="4C052401" w:rsidR="00FE3119" w:rsidRPr="00D746BC" w:rsidRDefault="00FE3119" w:rsidP="00FE3119">
      <w:pPr>
        <w:pStyle w:val="Heading1"/>
        <w:ind w:left="431" w:hanging="431"/>
      </w:pPr>
      <w:r>
        <w:t>Early RedCap UE identification</w:t>
      </w:r>
    </w:p>
    <w:p w14:paraId="7BF9CAA9" w14:textId="68EBEC98" w:rsidR="00765F37" w:rsidRPr="00431A28" w:rsidRDefault="00765F37" w:rsidP="00765F37">
      <w:pPr>
        <w:spacing w:before="120" w:after="120"/>
        <w:jc w:val="both"/>
        <w:rPr>
          <w:rFonts w:eastAsia="SimSun"/>
          <w:sz w:val="20"/>
          <w:lang w:eastAsia="zh-CN"/>
        </w:rPr>
      </w:pPr>
      <w:r>
        <w:rPr>
          <w:rFonts w:eastAsia="SimSun"/>
          <w:sz w:val="20"/>
          <w:lang w:eastAsia="zh-CN"/>
        </w:rPr>
        <w:t xml:space="preserve">RedCap UEs with reduced number of Rx antenna branches require </w:t>
      </w:r>
      <w:r w:rsidR="004B3F1E">
        <w:rPr>
          <w:rFonts w:eastAsia="SimSun"/>
          <w:sz w:val="20"/>
          <w:lang w:eastAsia="zh-CN"/>
        </w:rPr>
        <w:t xml:space="preserve">- on average - </w:t>
      </w:r>
      <w:r>
        <w:rPr>
          <w:rFonts w:eastAsia="SimSun"/>
          <w:sz w:val="20"/>
          <w:lang w:eastAsia="zh-CN"/>
        </w:rPr>
        <w:t xml:space="preserve">more robust Msg2 and Msg4 encoding than non-RedCap UEs. The coverage figures in </w:t>
      </w:r>
      <w:r>
        <w:rPr>
          <w:rFonts w:eastAsia="SimSun"/>
          <w:sz w:val="20"/>
          <w:lang w:eastAsia="zh-CN"/>
        </w:rPr>
        <w:fldChar w:fldCharType="begin"/>
      </w:r>
      <w:r>
        <w:rPr>
          <w:rFonts w:eastAsia="SimSun"/>
          <w:sz w:val="20"/>
          <w:lang w:eastAsia="zh-CN"/>
        </w:rPr>
        <w:instrText xml:space="preserve"> REF _Ref68560161 \n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t xml:space="preserve"> show that in the case of 1Rx UE and a deployment with 24dBm/MHz downlink PSD, </w:t>
      </w:r>
      <w:r w:rsidR="004B3F1E">
        <w:rPr>
          <w:rFonts w:eastAsia="SimSun"/>
          <w:sz w:val="20"/>
          <w:lang w:eastAsia="zh-CN"/>
        </w:rPr>
        <w:t>these</w:t>
      </w:r>
      <w:r>
        <w:rPr>
          <w:rFonts w:eastAsia="SimSun"/>
          <w:sz w:val="20"/>
          <w:lang w:eastAsia="zh-CN"/>
        </w:rPr>
        <w:t xml:space="preserve"> channels represent a coverage bottleneck:</w:t>
      </w:r>
      <w:r w:rsidR="004B3F1E">
        <w:rPr>
          <w:rFonts w:eastAsia="SimSun"/>
          <w:sz w:val="20"/>
          <w:lang w:eastAsia="zh-CN"/>
        </w:rPr>
        <w:t xml:space="preserve"> below the reference link budget</w:t>
      </w:r>
      <w:r>
        <w:rPr>
          <w:rFonts w:eastAsia="SimSun"/>
          <w:sz w:val="20"/>
          <w:lang w:eastAsia="zh-CN"/>
        </w:rPr>
        <w:t xml:space="preserve"> by </w:t>
      </w:r>
      <w:r w:rsidRPr="00431A28">
        <w:rPr>
          <w:rFonts w:eastAsia="SimSun"/>
          <w:sz w:val="20"/>
          <w:lang w:eastAsia="zh-CN"/>
        </w:rPr>
        <w:t>[5-6 dB] for Msg2 without TBS scaling</w:t>
      </w:r>
      <w:r w:rsidR="004B3F1E">
        <w:rPr>
          <w:rFonts w:eastAsia="SimSun"/>
          <w:sz w:val="20"/>
          <w:lang w:eastAsia="zh-CN"/>
        </w:rPr>
        <w:t>, and</w:t>
      </w:r>
      <w:r>
        <w:rPr>
          <w:rFonts w:eastAsia="SimSun"/>
          <w:sz w:val="20"/>
          <w:lang w:eastAsia="zh-CN"/>
        </w:rPr>
        <w:t xml:space="preserve"> by </w:t>
      </w:r>
      <w:r w:rsidRPr="00431A28">
        <w:rPr>
          <w:rFonts w:eastAsia="SimSun"/>
          <w:sz w:val="20"/>
          <w:lang w:eastAsia="zh-CN"/>
        </w:rPr>
        <w:t>[2-3 dB] for Msg4</w:t>
      </w:r>
      <w:r>
        <w:rPr>
          <w:rFonts w:eastAsia="SimSun"/>
          <w:sz w:val="20"/>
          <w:lang w:eastAsia="zh-CN"/>
        </w:rPr>
        <w:t xml:space="preserve">. The coverage can be </w:t>
      </w:r>
      <w:r w:rsidR="004B3F1E">
        <w:rPr>
          <w:rFonts w:eastAsia="SimSun"/>
          <w:sz w:val="20"/>
          <w:lang w:eastAsia="zh-CN"/>
        </w:rPr>
        <w:t>recovered</w:t>
      </w:r>
      <w:r>
        <w:rPr>
          <w:rFonts w:eastAsia="SimSun"/>
          <w:sz w:val="20"/>
          <w:lang w:eastAsia="zh-CN"/>
        </w:rPr>
        <w:t xml:space="preserve"> by </w:t>
      </w:r>
      <w:r w:rsidR="004B3F1E">
        <w:rPr>
          <w:rFonts w:eastAsia="SimSun"/>
          <w:sz w:val="20"/>
          <w:lang w:eastAsia="zh-CN"/>
        </w:rPr>
        <w:t xml:space="preserve">configuring </w:t>
      </w:r>
      <w:r>
        <w:rPr>
          <w:rFonts w:eastAsia="SimSun"/>
          <w:sz w:val="20"/>
          <w:lang w:eastAsia="zh-CN"/>
        </w:rPr>
        <w:t xml:space="preserve">TBS scaling for Msg2 and by </w:t>
      </w:r>
      <w:r w:rsidR="004B3F1E">
        <w:rPr>
          <w:rFonts w:eastAsia="SimSun"/>
          <w:sz w:val="20"/>
          <w:lang w:eastAsia="zh-CN"/>
        </w:rPr>
        <w:t xml:space="preserve">applying </w:t>
      </w:r>
      <w:r>
        <w:rPr>
          <w:rFonts w:eastAsia="SimSun"/>
          <w:sz w:val="20"/>
          <w:lang w:eastAsia="zh-CN"/>
        </w:rPr>
        <w:t xml:space="preserve">MCS0 and HARQ retransmissions for Msg4. The question is whether the conservative scheduling should apply for all UEs (in any deployment) or only UEs identified with restricted number of Rx branches. </w:t>
      </w:r>
    </w:p>
    <w:p w14:paraId="239D2FEC" w14:textId="7FEC55FB" w:rsidR="005F43C3" w:rsidRDefault="005F43C3" w:rsidP="00431A28">
      <w:pPr>
        <w:spacing w:before="120" w:after="120"/>
        <w:jc w:val="both"/>
        <w:rPr>
          <w:rFonts w:eastAsia="SimSun"/>
          <w:sz w:val="20"/>
          <w:lang w:eastAsia="zh-CN"/>
        </w:rPr>
      </w:pPr>
      <w:r>
        <w:rPr>
          <w:rFonts w:eastAsia="SimSun"/>
          <w:sz w:val="20"/>
          <w:lang w:eastAsia="zh-CN"/>
        </w:rPr>
        <w:t xml:space="preserve">In principle, the cell could have the option to configure specific RACH occasions for which Msg2 and Msg4 are transmitted with the most reliable configurations. It is a question whether these ROs should be used for early RedCap identification or only for </w:t>
      </w:r>
      <w:r w:rsidR="00B1775F">
        <w:rPr>
          <w:rFonts w:eastAsia="SimSun"/>
          <w:sz w:val="20"/>
          <w:lang w:eastAsia="zh-CN"/>
        </w:rPr>
        <w:t xml:space="preserve">identifying </w:t>
      </w:r>
      <w:r>
        <w:rPr>
          <w:rFonts w:eastAsia="SimSun"/>
          <w:sz w:val="20"/>
          <w:lang w:eastAsia="zh-CN"/>
        </w:rPr>
        <w:t xml:space="preserve">RedCap UEs that have 1 Rx branch, or </w:t>
      </w:r>
      <w:r w:rsidR="00B1775F">
        <w:rPr>
          <w:rFonts w:eastAsia="SimSun"/>
          <w:sz w:val="20"/>
          <w:lang w:eastAsia="zh-CN"/>
        </w:rPr>
        <w:t xml:space="preserve">simply identifying </w:t>
      </w:r>
      <w:r>
        <w:rPr>
          <w:rFonts w:eastAsia="SimSun"/>
          <w:sz w:val="20"/>
          <w:lang w:eastAsia="zh-CN"/>
        </w:rPr>
        <w:t>UE’s which experience a poor downlink quality.</w:t>
      </w:r>
    </w:p>
    <w:p w14:paraId="787D0D82" w14:textId="64E1F3B0" w:rsidR="001B2116" w:rsidRDefault="001B2116" w:rsidP="00431A28">
      <w:pPr>
        <w:spacing w:before="120" w:after="120"/>
        <w:jc w:val="both"/>
        <w:rPr>
          <w:rFonts w:eastAsia="SimSun"/>
          <w:sz w:val="20"/>
          <w:lang w:eastAsia="zh-CN"/>
        </w:rPr>
      </w:pPr>
      <w:r>
        <w:rPr>
          <w:rFonts w:eastAsia="SimSun"/>
          <w:sz w:val="20"/>
          <w:lang w:eastAsia="zh-CN"/>
        </w:rPr>
        <w:t>To spare the overhead of reserved ROs, identification of specific downlink conditions can be supported in Msg3 as well, in which case Msg2 needs to be configured conservatively for all UEs.</w:t>
      </w:r>
    </w:p>
    <w:p w14:paraId="0CB2B9C6" w14:textId="7004855C" w:rsidR="005F43C3" w:rsidRDefault="005F43C3" w:rsidP="005F43C3">
      <w:pPr>
        <w:jc w:val="both"/>
        <w:rPr>
          <w:b/>
          <w:bCs/>
          <w:i/>
          <w:noProof/>
          <w:sz w:val="20"/>
          <w:lang w:eastAsia="en-GB"/>
        </w:rPr>
      </w:pPr>
      <w:r w:rsidRPr="005F43C3">
        <w:rPr>
          <w:b/>
          <w:bCs/>
          <w:i/>
          <w:noProof/>
          <w:sz w:val="20"/>
          <w:lang w:eastAsia="en-GB"/>
        </w:rPr>
        <w:t>Proposal 2: A cell can be optionally configured to identify UE</w:t>
      </w:r>
      <w:r>
        <w:rPr>
          <w:b/>
          <w:bCs/>
          <w:i/>
          <w:noProof/>
          <w:sz w:val="20"/>
          <w:lang w:eastAsia="en-GB"/>
        </w:rPr>
        <w:t>’s with very poor downlink quality</w:t>
      </w:r>
      <w:r w:rsidRPr="005F43C3">
        <w:rPr>
          <w:b/>
          <w:bCs/>
          <w:i/>
          <w:noProof/>
          <w:sz w:val="20"/>
          <w:lang w:eastAsia="en-GB"/>
        </w:rPr>
        <w:t xml:space="preserve"> in Msg1</w:t>
      </w:r>
      <w:r w:rsidR="001B2116">
        <w:rPr>
          <w:b/>
          <w:bCs/>
          <w:i/>
          <w:noProof/>
          <w:sz w:val="20"/>
          <w:lang w:eastAsia="en-GB"/>
        </w:rPr>
        <w:t xml:space="preserve"> or Msg3</w:t>
      </w:r>
      <w:r w:rsidRPr="005F43C3">
        <w:rPr>
          <w:b/>
          <w:bCs/>
          <w:i/>
          <w:noProof/>
          <w:sz w:val="20"/>
          <w:lang w:eastAsia="en-GB"/>
        </w:rPr>
        <w:t xml:space="preserve"> and MsgA.</w:t>
      </w:r>
    </w:p>
    <w:p w14:paraId="5AC0C7E8" w14:textId="77777777" w:rsidR="005F43C3" w:rsidRDefault="005F43C3" w:rsidP="005F43C3">
      <w:pPr>
        <w:jc w:val="both"/>
        <w:rPr>
          <w:b/>
          <w:bCs/>
          <w:i/>
          <w:noProof/>
          <w:sz w:val="20"/>
          <w:lang w:eastAsia="en-GB"/>
        </w:rPr>
      </w:pPr>
    </w:p>
    <w:p w14:paraId="30C1E680" w14:textId="2CE1B6C4" w:rsidR="005F43C3" w:rsidRPr="005F43C3" w:rsidRDefault="005F43C3" w:rsidP="005F43C3">
      <w:pPr>
        <w:jc w:val="both"/>
        <w:rPr>
          <w:bCs/>
          <w:noProof/>
          <w:sz w:val="20"/>
          <w:lang w:eastAsia="en-GB"/>
        </w:rPr>
      </w:pPr>
      <w:r>
        <w:rPr>
          <w:bCs/>
          <w:noProof/>
          <w:sz w:val="20"/>
          <w:lang w:eastAsia="en-GB"/>
        </w:rPr>
        <w:t>In all cases, the number of a</w:t>
      </w:r>
      <w:r w:rsidR="00654BD6">
        <w:rPr>
          <w:bCs/>
          <w:noProof/>
          <w:sz w:val="20"/>
          <w:lang w:eastAsia="en-GB"/>
        </w:rPr>
        <w:t xml:space="preserve">ntennae needs to be reported </w:t>
      </w:r>
      <w:r>
        <w:rPr>
          <w:bCs/>
          <w:noProof/>
          <w:sz w:val="20"/>
          <w:lang w:eastAsia="en-GB"/>
        </w:rPr>
        <w:t>as part of UE capability reporting</w:t>
      </w:r>
      <w:r w:rsidR="00654BD6">
        <w:rPr>
          <w:bCs/>
          <w:noProof/>
          <w:sz w:val="20"/>
          <w:lang w:eastAsia="en-GB"/>
        </w:rPr>
        <w:t xml:space="preserve"> </w:t>
      </w:r>
      <w:r>
        <w:rPr>
          <w:bCs/>
          <w:noProof/>
          <w:sz w:val="20"/>
          <w:lang w:eastAsia="en-GB"/>
        </w:rPr>
        <w:t xml:space="preserve">along with details on the antenna panel configurations. </w:t>
      </w:r>
    </w:p>
    <w:p w14:paraId="48F12E8D" w14:textId="4B4EA2F2" w:rsidR="001F6664" w:rsidRPr="001B2116" w:rsidRDefault="00431A28" w:rsidP="00B2147F">
      <w:pPr>
        <w:spacing w:before="120" w:after="120"/>
        <w:jc w:val="both"/>
        <w:rPr>
          <w:b/>
          <w:i/>
          <w:sz w:val="20"/>
        </w:rPr>
      </w:pPr>
      <w:r w:rsidRPr="00431A28">
        <w:rPr>
          <w:rFonts w:eastAsia="SimSun"/>
          <w:b/>
          <w:i/>
          <w:sz w:val="20"/>
          <w:lang w:eastAsia="zh-CN"/>
        </w:rPr>
        <w:lastRenderedPageBreak/>
        <w:t>Proposal</w:t>
      </w:r>
      <w:r w:rsidR="00D94259">
        <w:rPr>
          <w:rFonts w:eastAsia="SimSun"/>
          <w:b/>
          <w:i/>
          <w:sz w:val="20"/>
          <w:lang w:eastAsia="zh-CN"/>
        </w:rPr>
        <w:t xml:space="preserve"> 3</w:t>
      </w:r>
      <w:r w:rsidRPr="00431A28">
        <w:rPr>
          <w:rFonts w:eastAsia="SimSun"/>
          <w:b/>
          <w:i/>
          <w:sz w:val="20"/>
          <w:lang w:eastAsia="zh-CN"/>
        </w:rPr>
        <w:t>: The RedCap UE reports its antennae configurations, such as number of Rx branches and antenna panel configurations, to the gNB as</w:t>
      </w:r>
      <w:r w:rsidRPr="00D746BC">
        <w:rPr>
          <w:b/>
          <w:i/>
          <w:sz w:val="20"/>
        </w:rPr>
        <w:t xml:space="preserve"> part of UE capability reporting. </w:t>
      </w:r>
    </w:p>
    <w:p w14:paraId="4C8B6237" w14:textId="59AF7041" w:rsidR="00D746BC" w:rsidRDefault="00D746BC" w:rsidP="00D746BC">
      <w:pPr>
        <w:pStyle w:val="Heading1"/>
        <w:ind w:left="431" w:hanging="431"/>
      </w:pPr>
      <w:r>
        <w:t>Conclusions</w:t>
      </w:r>
    </w:p>
    <w:p w14:paraId="5F98C6DB" w14:textId="6CAF829B" w:rsidR="00DF000C" w:rsidRPr="00DF000C" w:rsidRDefault="00DF000C" w:rsidP="00DF000C">
      <w:pPr>
        <w:jc w:val="both"/>
        <w:rPr>
          <w:bCs/>
          <w:noProof/>
          <w:sz w:val="20"/>
          <w:lang w:eastAsia="en-GB"/>
        </w:rPr>
      </w:pPr>
      <w:r w:rsidRPr="00DF000C">
        <w:rPr>
          <w:bCs/>
          <w:noProof/>
          <w:sz w:val="20"/>
          <w:lang w:eastAsia="en-GB"/>
        </w:rPr>
        <w:t>The following observations and proposals were made in this contribution:</w:t>
      </w:r>
    </w:p>
    <w:p w14:paraId="2A9B6F67" w14:textId="3C656A93" w:rsidR="00DF000C" w:rsidRDefault="00DF000C" w:rsidP="00DF000C">
      <w:pPr>
        <w:spacing w:before="120" w:after="120"/>
        <w:jc w:val="both"/>
        <w:rPr>
          <w:rFonts w:eastAsia="SimSun"/>
          <w:b/>
          <w:i/>
          <w:sz w:val="20"/>
          <w:lang w:eastAsia="zh-CN"/>
        </w:rPr>
      </w:pPr>
      <w:r w:rsidRPr="00006904">
        <w:rPr>
          <w:rFonts w:eastAsia="SimSun"/>
          <w:b/>
          <w:i/>
          <w:sz w:val="20"/>
          <w:lang w:eastAsia="zh-CN"/>
        </w:rPr>
        <w:t xml:space="preserve">Observation: </w:t>
      </w:r>
      <w:r>
        <w:rPr>
          <w:rFonts w:eastAsia="SimSun"/>
          <w:b/>
          <w:i/>
          <w:sz w:val="20"/>
          <w:lang w:eastAsia="zh-CN"/>
        </w:rPr>
        <w:t>The existing techniques in</w:t>
      </w:r>
      <w:r w:rsidRPr="00006904">
        <w:rPr>
          <w:rFonts w:eastAsia="SimSun"/>
          <w:b/>
          <w:i/>
          <w:sz w:val="20"/>
          <w:lang w:eastAsia="zh-CN"/>
        </w:rPr>
        <w:t xml:space="preserve"> R15/R16 are sufficient to mitigate </w:t>
      </w:r>
      <w:r>
        <w:rPr>
          <w:rFonts w:eastAsia="SimSun"/>
          <w:b/>
          <w:i/>
          <w:sz w:val="20"/>
          <w:lang w:eastAsia="zh-CN"/>
        </w:rPr>
        <w:t>t</w:t>
      </w:r>
      <w:r w:rsidRPr="00006904">
        <w:rPr>
          <w:rFonts w:eastAsia="SimSun"/>
          <w:b/>
          <w:i/>
          <w:sz w:val="20"/>
          <w:lang w:eastAsia="zh-CN"/>
        </w:rPr>
        <w:t>he risk of PDCCH blocking</w:t>
      </w:r>
      <w:r>
        <w:rPr>
          <w:rFonts w:eastAsia="SimSun"/>
          <w:b/>
          <w:i/>
          <w:sz w:val="20"/>
          <w:lang w:eastAsia="zh-CN"/>
        </w:rPr>
        <w:t>. D</w:t>
      </w:r>
      <w:r w:rsidRPr="00006904">
        <w:rPr>
          <w:rFonts w:eastAsia="SimSun"/>
          <w:b/>
          <w:i/>
          <w:sz w:val="20"/>
          <w:lang w:eastAsia="zh-CN"/>
        </w:rPr>
        <w:t>evices with reduced number of Rx branches</w:t>
      </w:r>
      <w:r>
        <w:rPr>
          <w:rFonts w:eastAsia="SimSun"/>
          <w:b/>
          <w:i/>
          <w:sz w:val="20"/>
          <w:lang w:eastAsia="zh-CN"/>
        </w:rPr>
        <w:t xml:space="preserve"> require no further enhancement to the </w:t>
      </w:r>
      <w:r w:rsidR="00FB4321">
        <w:rPr>
          <w:rFonts w:eastAsia="SimSun"/>
          <w:b/>
          <w:i/>
          <w:sz w:val="20"/>
          <w:lang w:eastAsia="zh-CN"/>
        </w:rPr>
        <w:t xml:space="preserve">available </w:t>
      </w:r>
      <w:r>
        <w:rPr>
          <w:rFonts w:eastAsia="SimSun"/>
          <w:b/>
          <w:i/>
          <w:sz w:val="20"/>
          <w:lang w:eastAsia="zh-CN"/>
        </w:rPr>
        <w:t>PDCCH format</w:t>
      </w:r>
      <w:r w:rsidR="00C8148F">
        <w:rPr>
          <w:rFonts w:eastAsia="SimSun"/>
          <w:b/>
          <w:i/>
          <w:sz w:val="20"/>
          <w:lang w:eastAsia="zh-CN"/>
        </w:rPr>
        <w:t>s</w:t>
      </w:r>
      <w:r w:rsidRPr="00006904">
        <w:rPr>
          <w:rFonts w:eastAsia="SimSun"/>
          <w:b/>
          <w:i/>
          <w:sz w:val="20"/>
          <w:lang w:eastAsia="zh-CN"/>
        </w:rPr>
        <w:t>.</w:t>
      </w:r>
    </w:p>
    <w:p w14:paraId="2A957FA7" w14:textId="77777777" w:rsidR="00DF000C" w:rsidRPr="00006904" w:rsidRDefault="00DF000C" w:rsidP="00DF000C">
      <w:pPr>
        <w:spacing w:before="120" w:after="120"/>
        <w:jc w:val="both"/>
        <w:rPr>
          <w:rFonts w:eastAsia="SimSun"/>
          <w:b/>
          <w:i/>
          <w:sz w:val="20"/>
          <w:lang w:eastAsia="zh-CN"/>
        </w:rPr>
      </w:pPr>
      <w:r>
        <w:rPr>
          <w:rFonts w:eastAsia="SimSun"/>
          <w:b/>
          <w:i/>
          <w:sz w:val="20"/>
          <w:lang w:eastAsia="zh-CN"/>
        </w:rPr>
        <w:t>Proposal 1: No need for further enhancements to PDCCH formats.</w:t>
      </w:r>
    </w:p>
    <w:p w14:paraId="2EA5EAE5" w14:textId="4E00368F" w:rsidR="00D746BC" w:rsidRDefault="00D746BC" w:rsidP="00431A28">
      <w:pPr>
        <w:spacing w:before="120" w:after="120"/>
        <w:jc w:val="both"/>
        <w:rPr>
          <w:rFonts w:eastAsia="SimSun"/>
          <w:b/>
          <w:i/>
          <w:sz w:val="20"/>
          <w:lang w:eastAsia="zh-CN"/>
        </w:rPr>
      </w:pPr>
      <w:r w:rsidRPr="00431A28">
        <w:rPr>
          <w:rFonts w:eastAsia="SimSun"/>
          <w:b/>
          <w:i/>
          <w:sz w:val="20"/>
          <w:lang w:eastAsia="zh-CN"/>
        </w:rPr>
        <w:t>Proposal</w:t>
      </w:r>
      <w:r w:rsidR="00097EA6">
        <w:rPr>
          <w:rFonts w:eastAsia="SimSun"/>
          <w:b/>
          <w:i/>
          <w:sz w:val="20"/>
          <w:lang w:eastAsia="zh-CN"/>
        </w:rPr>
        <w:t xml:space="preserve"> 2</w:t>
      </w:r>
      <w:r w:rsidRPr="00431A28">
        <w:rPr>
          <w:rFonts w:eastAsia="SimSun"/>
          <w:b/>
          <w:i/>
          <w:sz w:val="20"/>
          <w:lang w:eastAsia="zh-CN"/>
        </w:rPr>
        <w:t xml:space="preserve">: The RedCap UE reports its antennae configurations, such as number of Rx branches and antenna panel configurations, to the gNB as part of UE capability reporting. </w:t>
      </w:r>
    </w:p>
    <w:p w14:paraId="25C229D9" w14:textId="4AE573D0" w:rsidR="00DF000C" w:rsidRPr="00DF000C" w:rsidRDefault="00DF000C" w:rsidP="00431A28">
      <w:pPr>
        <w:spacing w:before="120" w:after="120"/>
        <w:jc w:val="both"/>
        <w:rPr>
          <w:b/>
          <w:i/>
          <w:sz w:val="20"/>
        </w:rPr>
      </w:pPr>
      <w:r w:rsidRPr="00431A28">
        <w:rPr>
          <w:rFonts w:eastAsia="SimSun"/>
          <w:b/>
          <w:i/>
          <w:sz w:val="20"/>
          <w:lang w:eastAsia="zh-CN"/>
        </w:rPr>
        <w:t>Proposal</w:t>
      </w:r>
      <w:r>
        <w:rPr>
          <w:rFonts w:eastAsia="SimSun"/>
          <w:b/>
          <w:i/>
          <w:sz w:val="20"/>
          <w:lang w:eastAsia="zh-CN"/>
        </w:rPr>
        <w:t xml:space="preserve"> 3</w:t>
      </w:r>
      <w:r w:rsidRPr="00431A28">
        <w:rPr>
          <w:rFonts w:eastAsia="SimSun"/>
          <w:b/>
          <w:i/>
          <w:sz w:val="20"/>
          <w:lang w:eastAsia="zh-CN"/>
        </w:rPr>
        <w:t>: The RedCap UE reports its antennae configurations, such as number of Rx branches and antenna panel configurations, to the gNB as</w:t>
      </w:r>
      <w:r w:rsidRPr="00D746BC">
        <w:rPr>
          <w:b/>
          <w:i/>
          <w:sz w:val="20"/>
        </w:rPr>
        <w:t xml:space="preserve"> part of UE capability reporting. </w:t>
      </w:r>
    </w:p>
    <w:p w14:paraId="1FE1EA38" w14:textId="34F9B171" w:rsidR="0042651F" w:rsidRPr="00401394" w:rsidRDefault="0042651F" w:rsidP="00306B1D">
      <w:pPr>
        <w:pStyle w:val="Heading1"/>
        <w:ind w:left="431" w:hanging="431"/>
      </w:pPr>
      <w:r w:rsidRPr="00401394">
        <w:t>References</w:t>
      </w:r>
    </w:p>
    <w:p w14:paraId="25B76DB4" w14:textId="67B4B224" w:rsidR="00306B1D" w:rsidRPr="0088650D" w:rsidRDefault="00301585" w:rsidP="00301585">
      <w:pPr>
        <w:numPr>
          <w:ilvl w:val="0"/>
          <w:numId w:val="2"/>
        </w:numPr>
        <w:rPr>
          <w:sz w:val="20"/>
        </w:rPr>
      </w:pPr>
      <w:bookmarkStart w:id="5" w:name="_Ref40432453"/>
      <w:bookmarkStart w:id="6" w:name="_Ref39750275"/>
      <w:bookmarkStart w:id="7" w:name="_Ref32331821"/>
      <w:bookmarkStart w:id="8"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5"/>
      <w:r w:rsidRPr="0088650D">
        <w:rPr>
          <w:sz w:val="20"/>
        </w:rPr>
        <w:t xml:space="preserve"> </w:t>
      </w:r>
      <w:bookmarkEnd w:id="6"/>
    </w:p>
    <w:p w14:paraId="397E5B93" w14:textId="22CF8E78" w:rsidR="00C33D11" w:rsidRPr="0088650D" w:rsidRDefault="00C33D11" w:rsidP="00C33D11">
      <w:pPr>
        <w:numPr>
          <w:ilvl w:val="0"/>
          <w:numId w:val="2"/>
        </w:numPr>
        <w:rPr>
          <w:sz w:val="20"/>
        </w:rPr>
      </w:pPr>
      <w:bookmarkStart w:id="9" w:name="_Ref46136565"/>
      <w:r w:rsidRPr="0088650D">
        <w:rPr>
          <w:sz w:val="20"/>
        </w:rPr>
        <w:t>RP-201386 “Revised SID on Study on support of reduced capability NR devices”, Ericsson, RAN#88e, July 2020</w:t>
      </w:r>
      <w:bookmarkEnd w:id="9"/>
    </w:p>
    <w:p w14:paraId="4B2B5168" w14:textId="2F42520C" w:rsidR="003149EE" w:rsidRDefault="00E75B48" w:rsidP="003149EE">
      <w:pPr>
        <w:numPr>
          <w:ilvl w:val="0"/>
          <w:numId w:val="2"/>
        </w:numPr>
        <w:rPr>
          <w:sz w:val="20"/>
        </w:rPr>
      </w:pPr>
      <w:bookmarkStart w:id="10" w:name="_Ref61883933"/>
      <w:bookmarkStart w:id="11" w:name="_Ref71283455"/>
      <w:r>
        <w:rPr>
          <w:sz w:val="20"/>
        </w:rPr>
        <w:t>RP-210918</w:t>
      </w:r>
      <w:r w:rsidR="003149EE" w:rsidRPr="0088650D">
        <w:rPr>
          <w:sz w:val="20"/>
        </w:rPr>
        <w:t xml:space="preserve"> New WID on support of reduced capability NR devices, Ericsson, Nokia, </w:t>
      </w:r>
      <w:r>
        <w:rPr>
          <w:sz w:val="20"/>
        </w:rPr>
        <w:t>March</w:t>
      </w:r>
      <w:r w:rsidR="003149EE" w:rsidRPr="0088650D">
        <w:rPr>
          <w:sz w:val="20"/>
        </w:rPr>
        <w:t xml:space="preserve"> 202</w:t>
      </w:r>
      <w:bookmarkEnd w:id="10"/>
      <w:r>
        <w:rPr>
          <w:sz w:val="20"/>
        </w:rPr>
        <w:t>1</w:t>
      </w:r>
      <w:bookmarkEnd w:id="11"/>
      <w:r w:rsidR="003149EE" w:rsidRPr="0088650D">
        <w:rPr>
          <w:sz w:val="20"/>
        </w:rPr>
        <w:t xml:space="preserve"> </w:t>
      </w:r>
    </w:p>
    <w:p w14:paraId="5E592CCF" w14:textId="45C66682" w:rsidR="00B2147F" w:rsidRPr="0088650D" w:rsidRDefault="00B2147F" w:rsidP="00B2147F">
      <w:pPr>
        <w:numPr>
          <w:ilvl w:val="0"/>
          <w:numId w:val="2"/>
        </w:numPr>
        <w:rPr>
          <w:sz w:val="20"/>
        </w:rPr>
      </w:pPr>
      <w:bookmarkStart w:id="12" w:name="_Ref68560161"/>
      <w:r w:rsidRPr="00B2147F">
        <w:rPr>
          <w:sz w:val="20"/>
        </w:rPr>
        <w:t>3GPP TR 38.875</w:t>
      </w:r>
      <w:r>
        <w:rPr>
          <w:sz w:val="20"/>
        </w:rPr>
        <w:t>,</w:t>
      </w:r>
      <w:r w:rsidRPr="00B2147F">
        <w:rPr>
          <w:sz w:val="20"/>
        </w:rPr>
        <w:t xml:space="preserve"> Study on support of reduced capability NR devices</w:t>
      </w:r>
      <w:r>
        <w:rPr>
          <w:sz w:val="20"/>
        </w:rPr>
        <w:t xml:space="preserve">, Rel-17, </w:t>
      </w:r>
      <w:r w:rsidRPr="00B2147F">
        <w:rPr>
          <w:sz w:val="20"/>
        </w:rPr>
        <w:t>V2.0.0</w:t>
      </w:r>
      <w:r>
        <w:rPr>
          <w:sz w:val="20"/>
        </w:rPr>
        <w:t>, March 2021</w:t>
      </w:r>
      <w:bookmarkEnd w:id="12"/>
    </w:p>
    <w:bookmarkEnd w:id="7"/>
    <w:bookmarkEnd w:id="8"/>
    <w:p w14:paraId="5BC1F17B" w14:textId="1E526A22" w:rsidR="00306B1D" w:rsidRPr="0088650D" w:rsidRDefault="00306B1D" w:rsidP="00E75B48">
      <w:pPr>
        <w:ind w:left="360"/>
        <w:rPr>
          <w:sz w:val="20"/>
        </w:rPr>
      </w:pPr>
    </w:p>
    <w:p w14:paraId="0DEB71D8" w14:textId="77777777" w:rsidR="00C0163E" w:rsidRDefault="00C0163E" w:rsidP="00C0163E"/>
    <w:sectPr w:rsidR="00C0163E"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0A81E" w14:textId="77777777" w:rsidR="00993388" w:rsidRDefault="00993388">
      <w:r>
        <w:separator/>
      </w:r>
    </w:p>
  </w:endnote>
  <w:endnote w:type="continuationSeparator" w:id="0">
    <w:p w14:paraId="08E3DF4C" w14:textId="77777777" w:rsidR="00993388" w:rsidRDefault="0099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charset w:val="00"/>
    <w:family w:val="roman"/>
    <w:pitch w:val="default"/>
  </w:font>
  <w:font w:name="Symbo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6E511C" w:rsidRDefault="006E511C">
        <w:pPr>
          <w:pStyle w:val="Footer"/>
        </w:pPr>
        <w:r>
          <w:rPr>
            <w:noProof w:val="0"/>
          </w:rPr>
          <w:fldChar w:fldCharType="begin"/>
        </w:r>
        <w:r>
          <w:instrText xml:space="preserve"> PAGE   \* MERGEFORMAT </w:instrText>
        </w:r>
        <w:r>
          <w:rPr>
            <w:noProof w:val="0"/>
          </w:rPr>
          <w:fldChar w:fldCharType="separate"/>
        </w:r>
        <w:r w:rsidR="00BC7110">
          <w:t>3</w:t>
        </w:r>
        <w:r>
          <w:fldChar w:fldCharType="end"/>
        </w:r>
      </w:p>
    </w:sdtContent>
  </w:sdt>
  <w:p w14:paraId="10846351" w14:textId="77777777" w:rsidR="006E511C" w:rsidRDefault="006E5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5A2A8" w14:textId="77777777" w:rsidR="00993388" w:rsidRDefault="00993388">
      <w:r>
        <w:separator/>
      </w:r>
    </w:p>
  </w:footnote>
  <w:footnote w:type="continuationSeparator" w:id="0">
    <w:p w14:paraId="4C6550FD" w14:textId="77777777" w:rsidR="00993388" w:rsidRDefault="00993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75D28"/>
    <w:multiLevelType w:val="multilevel"/>
    <w:tmpl w:val="0A802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93815"/>
    <w:multiLevelType w:val="hybridMultilevel"/>
    <w:tmpl w:val="AB404C10"/>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5"/>
  </w:num>
  <w:num w:numId="4">
    <w:abstractNumId w:val="9"/>
  </w:num>
  <w:num w:numId="5">
    <w:abstractNumId w:val="28"/>
  </w:num>
  <w:num w:numId="6">
    <w:abstractNumId w:val="11"/>
  </w:num>
  <w:num w:numId="7">
    <w:abstractNumId w:val="1"/>
  </w:num>
  <w:num w:numId="8">
    <w:abstractNumId w:val="10"/>
  </w:num>
  <w:num w:numId="9">
    <w:abstractNumId w:val="15"/>
  </w:num>
  <w:num w:numId="10">
    <w:abstractNumId w:val="22"/>
  </w:num>
  <w:num w:numId="11">
    <w:abstractNumId w:val="27"/>
  </w:num>
  <w:num w:numId="12">
    <w:abstractNumId w:val="26"/>
  </w:num>
  <w:num w:numId="13">
    <w:abstractNumId w:val="25"/>
  </w:num>
  <w:num w:numId="14">
    <w:abstractNumId w:val="6"/>
  </w:num>
  <w:num w:numId="15">
    <w:abstractNumId w:val="0"/>
  </w:num>
  <w:num w:numId="16">
    <w:abstractNumId w:val="19"/>
  </w:num>
  <w:num w:numId="17">
    <w:abstractNumId w:val="16"/>
  </w:num>
  <w:num w:numId="18">
    <w:abstractNumId w:val="7"/>
  </w:num>
  <w:num w:numId="19">
    <w:abstractNumId w:val="20"/>
  </w:num>
  <w:num w:numId="20">
    <w:abstractNumId w:val="24"/>
  </w:num>
  <w:num w:numId="21">
    <w:abstractNumId w:val="14"/>
  </w:num>
  <w:num w:numId="22">
    <w:abstractNumId w:val="2"/>
  </w:num>
  <w:num w:numId="23">
    <w:abstractNumId w:val="13"/>
  </w:num>
  <w:num w:numId="24">
    <w:abstractNumId w:val="18"/>
  </w:num>
  <w:num w:numId="25">
    <w:abstractNumId w:val="8"/>
  </w:num>
  <w:num w:numId="26">
    <w:abstractNumId w:val="21"/>
  </w:num>
  <w:num w:numId="27">
    <w:abstractNumId w:val="23"/>
  </w:num>
  <w:num w:numId="28">
    <w:abstractNumId w:val="4"/>
  </w:num>
  <w:num w:numId="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3BA5"/>
    <w:rsid w:val="00004A20"/>
    <w:rsid w:val="00004B5C"/>
    <w:rsid w:val="000054AF"/>
    <w:rsid w:val="00006812"/>
    <w:rsid w:val="00006904"/>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77B"/>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4C60"/>
    <w:rsid w:val="0009679F"/>
    <w:rsid w:val="00096F03"/>
    <w:rsid w:val="0009731E"/>
    <w:rsid w:val="0009774B"/>
    <w:rsid w:val="00097EA6"/>
    <w:rsid w:val="000A02F0"/>
    <w:rsid w:val="000A1450"/>
    <w:rsid w:val="000A1499"/>
    <w:rsid w:val="000A1A1C"/>
    <w:rsid w:val="000A28EE"/>
    <w:rsid w:val="000A2A24"/>
    <w:rsid w:val="000A2E10"/>
    <w:rsid w:val="000A3132"/>
    <w:rsid w:val="000A3AA8"/>
    <w:rsid w:val="000A3CCC"/>
    <w:rsid w:val="000A3DC5"/>
    <w:rsid w:val="000A401B"/>
    <w:rsid w:val="000A4222"/>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2B8"/>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05DD"/>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5FFD"/>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6F"/>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43"/>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116"/>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5FBE"/>
    <w:rsid w:val="001F615F"/>
    <w:rsid w:val="001F6664"/>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5C83"/>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AB0"/>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153E"/>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9F8"/>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6A32"/>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1A28"/>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2D1"/>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3F1E"/>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032"/>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3C3"/>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4FF0"/>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BD6"/>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6D18"/>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2FAE"/>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511C"/>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5F37"/>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41E"/>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742"/>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36E5"/>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77A"/>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88E"/>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2F44"/>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649"/>
    <w:rsid w:val="008B59CB"/>
    <w:rsid w:val="008B633F"/>
    <w:rsid w:val="008B6441"/>
    <w:rsid w:val="008B6B67"/>
    <w:rsid w:val="008C0004"/>
    <w:rsid w:val="008C03D0"/>
    <w:rsid w:val="008C0413"/>
    <w:rsid w:val="008C0EF9"/>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0C"/>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08"/>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58C"/>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388"/>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77782"/>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B4B"/>
    <w:rsid w:val="00A93C1A"/>
    <w:rsid w:val="00A943AF"/>
    <w:rsid w:val="00A94541"/>
    <w:rsid w:val="00A9476C"/>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5F"/>
    <w:rsid w:val="00B177E5"/>
    <w:rsid w:val="00B17DAA"/>
    <w:rsid w:val="00B20319"/>
    <w:rsid w:val="00B20E7E"/>
    <w:rsid w:val="00B20EED"/>
    <w:rsid w:val="00B2147F"/>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1F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10"/>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CD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0FE6"/>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48F"/>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51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09FE"/>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6BC"/>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59"/>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245"/>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ACC"/>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00C"/>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0948"/>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5FC5"/>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B48"/>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458"/>
    <w:rsid w:val="00F11FEF"/>
    <w:rsid w:val="00F129F3"/>
    <w:rsid w:val="00F12A8E"/>
    <w:rsid w:val="00F13325"/>
    <w:rsid w:val="00F133B7"/>
    <w:rsid w:val="00F133CE"/>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631"/>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513"/>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321"/>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119"/>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9480535">
      <w:bodyDiv w:val="1"/>
      <w:marLeft w:val="0"/>
      <w:marRight w:val="0"/>
      <w:marTop w:val="0"/>
      <w:marBottom w:val="0"/>
      <w:divBdr>
        <w:top w:val="none" w:sz="0" w:space="0" w:color="auto"/>
        <w:left w:val="none" w:sz="0" w:space="0" w:color="auto"/>
        <w:bottom w:val="none" w:sz="0" w:space="0" w:color="auto"/>
        <w:right w:val="none" w:sz="0" w:space="0" w:color="auto"/>
      </w:divBdr>
      <w:divsChild>
        <w:div w:id="467354745">
          <w:marLeft w:val="0"/>
          <w:marRight w:val="0"/>
          <w:marTop w:val="0"/>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7192409">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F4BBCAC-C40A-452C-9DA5-CF4B42FB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8595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cp:revision>
  <cp:lastPrinted>2019-10-07T16:08:00Z</cp:lastPrinted>
  <dcterms:created xsi:type="dcterms:W3CDTF">2021-05-11T17:21:00Z</dcterms:created>
  <dcterms:modified xsi:type="dcterms:W3CDTF">2021-05-11T17:21:00Z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